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D6C6F" w14:textId="703602B1" w:rsidR="004A5F27" w:rsidRPr="00E67F7D" w:rsidRDefault="002010FA" w:rsidP="00037734">
      <w:pPr>
        <w:rPr>
          <w:b/>
          <w:sz w:val="28"/>
        </w:rPr>
      </w:pPr>
      <w:r>
        <w:rPr>
          <w:b/>
          <w:sz w:val="28"/>
        </w:rPr>
        <w:t>Contrat relatif à la p</w:t>
      </w:r>
      <w:r w:rsidR="00037734" w:rsidRPr="00E67F7D">
        <w:rPr>
          <w:b/>
          <w:sz w:val="28"/>
        </w:rPr>
        <w:t>rotection des données à caractère personnel</w:t>
      </w:r>
    </w:p>
    <w:p w14:paraId="0B15B758" w14:textId="77777777" w:rsidR="004A5F27" w:rsidRDefault="004A5F27" w:rsidP="00037734"/>
    <w:p w14:paraId="5B27565A" w14:textId="77777777" w:rsidR="004A5F27" w:rsidRPr="00A569FD" w:rsidRDefault="004A5F27" w:rsidP="00E67F7D">
      <w:pPr>
        <w:pStyle w:val="Titre1"/>
      </w:pPr>
      <w:r w:rsidRPr="00A569FD">
        <w:t>Objet</w:t>
      </w:r>
    </w:p>
    <w:p w14:paraId="0F289B0E" w14:textId="77777777" w:rsidR="004A5F27" w:rsidRDefault="004A5F27" w:rsidP="004A5F27"/>
    <w:p w14:paraId="23D13231" w14:textId="721FDAF7" w:rsidR="004A5F27" w:rsidRDefault="00663EE2" w:rsidP="00A569FD">
      <w:pPr>
        <w:ind w:firstLine="708"/>
      </w:pPr>
      <w:r>
        <w:t>Le présent</w:t>
      </w:r>
      <w:r w:rsidR="00A569FD">
        <w:t xml:space="preserve"> </w:t>
      </w:r>
      <w:r>
        <w:t xml:space="preserve">contrat </w:t>
      </w:r>
      <w:r w:rsidR="00A569FD">
        <w:t>a</w:t>
      </w:r>
      <w:r w:rsidR="004A5F27">
        <w:t xml:space="preserve"> pour objet de définir les conditions dans lesquelles </w:t>
      </w:r>
      <w:r w:rsidR="004A5F27" w:rsidRPr="004A5F27">
        <w:rPr>
          <w:highlight w:val="yellow"/>
        </w:rPr>
        <w:t>[…]</w:t>
      </w:r>
      <w:r w:rsidR="004A5F27">
        <w:t xml:space="preserve"> (ci-après </w:t>
      </w:r>
      <w:r w:rsidR="00A569FD">
        <w:t>« </w:t>
      </w:r>
      <w:r w:rsidR="004A5F27">
        <w:t>le sous-traitant</w:t>
      </w:r>
      <w:r w:rsidR="00A569FD">
        <w:t> »</w:t>
      </w:r>
      <w:r w:rsidR="004A5F27">
        <w:t xml:space="preserve">) s’engage à effectuer pour le compte du </w:t>
      </w:r>
      <w:r w:rsidR="004D3202">
        <w:t>CHU DIJON BOURGOGNE</w:t>
      </w:r>
      <w:r w:rsidR="004A5F27">
        <w:t xml:space="preserve"> (ci-après </w:t>
      </w:r>
      <w:r w:rsidR="00A569FD">
        <w:t>« </w:t>
      </w:r>
      <w:r w:rsidR="004A5F27">
        <w:t>le responsable de traitement</w:t>
      </w:r>
      <w:r w:rsidR="00A569FD">
        <w:t> »</w:t>
      </w:r>
      <w:r w:rsidR="004A5F27">
        <w:t>) les opérations de traitement de données à caractère personnel définies ci-après.</w:t>
      </w:r>
    </w:p>
    <w:p w14:paraId="2B7F4DEE" w14:textId="77777777" w:rsidR="004A5F27" w:rsidRDefault="004A5F27" w:rsidP="004A5F27"/>
    <w:p w14:paraId="4DDD6BEB" w14:textId="0665C2EA" w:rsidR="004A5F27" w:rsidRDefault="004A5F27" w:rsidP="004A5F27">
      <w:pPr>
        <w:ind w:firstLine="708"/>
      </w:pPr>
      <w: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w:t>
      </w:r>
      <w:r w:rsidR="00A569FD">
        <w:t>ur la protection des données ») et la loi 78/17 du 6 janvier 1978 modifiée (ci-après, « loi informatique et liberté</w:t>
      </w:r>
      <w:r w:rsidR="009327C8">
        <w:t>s</w:t>
      </w:r>
      <w:r w:rsidR="00A569FD">
        <w:t> »).</w:t>
      </w:r>
    </w:p>
    <w:p w14:paraId="08F343F5" w14:textId="77777777" w:rsidR="00BA13EB" w:rsidRDefault="00BA13EB" w:rsidP="004A5F27">
      <w:pPr>
        <w:ind w:firstLine="708"/>
      </w:pPr>
    </w:p>
    <w:p w14:paraId="6F343D85" w14:textId="77777777" w:rsidR="00BA13EB" w:rsidRPr="004C68C8" w:rsidRDefault="00BA13EB" w:rsidP="00BA13EB">
      <w:pPr>
        <w:ind w:firstLine="708"/>
        <w:rPr>
          <w:rFonts w:cstheme="minorHAnsi"/>
        </w:rPr>
      </w:pPr>
      <w:r>
        <w:rPr>
          <w:rFonts w:cstheme="minorHAnsi"/>
        </w:rPr>
        <w:t>Les termes utilisés dans le présent</w:t>
      </w:r>
      <w:r w:rsidRPr="004C68C8">
        <w:rPr>
          <w:rFonts w:cstheme="minorHAnsi"/>
        </w:rPr>
        <w:t xml:space="preserve"> </w:t>
      </w:r>
      <w:r>
        <w:rPr>
          <w:rFonts w:cstheme="minorHAnsi"/>
        </w:rPr>
        <w:t>avenant</w:t>
      </w:r>
      <w:r w:rsidRPr="004C68C8">
        <w:rPr>
          <w:rFonts w:cstheme="minorHAnsi"/>
        </w:rPr>
        <w:t xml:space="preserve"> ont le sens qui leur est donné par le RGPD à l’article Définition, notamment : « Responsable de </w:t>
      </w:r>
      <w:r>
        <w:rPr>
          <w:rFonts w:cstheme="minorHAnsi"/>
        </w:rPr>
        <w:t>Traitement</w:t>
      </w:r>
      <w:r w:rsidRPr="004C68C8">
        <w:rPr>
          <w:rFonts w:cstheme="minorHAnsi"/>
        </w:rPr>
        <w:t> », « Sous-traitant », « Données personnelles »</w:t>
      </w:r>
      <w:r>
        <w:rPr>
          <w:rFonts w:cstheme="minorHAnsi"/>
        </w:rPr>
        <w:t xml:space="preserve"> (ou « Données »)</w:t>
      </w:r>
      <w:r w:rsidRPr="004C68C8">
        <w:rPr>
          <w:rFonts w:cstheme="minorHAnsi"/>
        </w:rPr>
        <w:t>, «</w:t>
      </w:r>
      <w:r w:rsidRPr="004C68C8">
        <w:rPr>
          <w:rFonts w:cstheme="minorHAnsi"/>
          <w:bCs/>
        </w:rPr>
        <w:t> Violation de Données</w:t>
      </w:r>
      <w:r w:rsidRPr="004C68C8">
        <w:rPr>
          <w:rFonts w:cstheme="minorHAnsi"/>
        </w:rPr>
        <w:t> », « Traitement » et « Personne concernée ».</w:t>
      </w:r>
    </w:p>
    <w:p w14:paraId="4281E2A6" w14:textId="0C8E28D4" w:rsidR="00A569FD" w:rsidRDefault="00A569FD" w:rsidP="00BA13EB"/>
    <w:p w14:paraId="0BE0D0B3" w14:textId="77777777" w:rsidR="00A569FD" w:rsidRPr="00A569FD" w:rsidRDefault="00A569FD" w:rsidP="00E67F7D">
      <w:pPr>
        <w:pStyle w:val="Titre1"/>
      </w:pPr>
      <w:r w:rsidRPr="00A569FD">
        <w:t>Description du traitement faisant l’objet de la sous-traitance</w:t>
      </w:r>
    </w:p>
    <w:p w14:paraId="4AB32710" w14:textId="77777777" w:rsidR="00A569FD" w:rsidRDefault="00A569FD" w:rsidP="00A569FD"/>
    <w:p w14:paraId="28605D41" w14:textId="77777777" w:rsidR="002B20D6" w:rsidRDefault="002B20D6" w:rsidP="002B20D6">
      <w:r>
        <w:t xml:space="preserve">Le sous-traitant est autorisé à traiter pour le compte du responsable de traitement les données à caractère personnel définies par les conditions subséquentes : </w:t>
      </w:r>
    </w:p>
    <w:p w14:paraId="13E64C00" w14:textId="77777777" w:rsidR="002B20D6" w:rsidRDefault="002B20D6" w:rsidP="002B20D6"/>
    <w:p w14:paraId="04FE571F" w14:textId="02BC2BE4" w:rsidR="002B20D6" w:rsidRDefault="002B20D6" w:rsidP="002B20D6">
      <w:r>
        <w:t>•</w:t>
      </w:r>
      <w:r>
        <w:tab/>
        <w:t xml:space="preserve">Catégorie(s) des données à caractère personnel </w:t>
      </w:r>
      <w:r w:rsidR="007760C4">
        <w:t>traitées :</w:t>
      </w:r>
    </w:p>
    <w:tbl>
      <w:tblPr>
        <w:tblStyle w:val="TableauGrille4-Accentuation41"/>
        <w:tblW w:w="0" w:type="auto"/>
        <w:tblLook w:val="04A0" w:firstRow="1" w:lastRow="0" w:firstColumn="1" w:lastColumn="0" w:noHBand="0" w:noVBand="1"/>
      </w:tblPr>
      <w:tblGrid>
        <w:gridCol w:w="5475"/>
        <w:gridCol w:w="4719"/>
      </w:tblGrid>
      <w:tr w:rsidR="007760C4" w:rsidRPr="007760C4" w14:paraId="39BFB77D" w14:textId="77777777" w:rsidTr="007760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5" w:type="dxa"/>
            <w:shd w:val="clear" w:color="auto" w:fill="365F91" w:themeFill="accent1" w:themeFillShade="BF"/>
          </w:tcPr>
          <w:p w14:paraId="2C0D184D" w14:textId="77777777" w:rsidR="007760C4" w:rsidRPr="007760C4" w:rsidRDefault="007760C4" w:rsidP="00590EE1">
            <w:pPr>
              <w:jc w:val="center"/>
            </w:pPr>
            <w:r w:rsidRPr="007760C4">
              <w:t>Type de données</w:t>
            </w:r>
          </w:p>
        </w:tc>
        <w:tc>
          <w:tcPr>
            <w:tcW w:w="4719" w:type="dxa"/>
            <w:shd w:val="clear" w:color="auto" w:fill="365F91" w:themeFill="accent1" w:themeFillShade="BF"/>
          </w:tcPr>
          <w:p w14:paraId="0D6A154C" w14:textId="5FCDBF3B" w:rsidR="007760C4" w:rsidRPr="007760C4" w:rsidRDefault="007760C4" w:rsidP="007760C4">
            <w:pPr>
              <w:jc w:val="center"/>
              <w:cnfStyle w:val="100000000000" w:firstRow="1" w:lastRow="0" w:firstColumn="0" w:lastColumn="0" w:oddVBand="0" w:evenVBand="0" w:oddHBand="0" w:evenHBand="0" w:firstRowFirstColumn="0" w:firstRowLastColumn="0" w:lastRowFirstColumn="0" w:lastRowLastColumn="0"/>
            </w:pPr>
            <w:r>
              <w:t>Coche si oui</w:t>
            </w:r>
          </w:p>
        </w:tc>
      </w:tr>
      <w:tr w:rsidR="007760C4" w:rsidRPr="007760C4" w14:paraId="667C8268" w14:textId="77777777" w:rsidTr="00342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5" w:type="dxa"/>
            <w:shd w:val="clear" w:color="auto" w:fill="auto"/>
          </w:tcPr>
          <w:p w14:paraId="0AEEF6B4" w14:textId="73B7D7F3" w:rsidR="007760C4" w:rsidRPr="007760C4" w:rsidRDefault="007760C4" w:rsidP="002F1B14">
            <w:pPr>
              <w:rPr>
                <w:b w:val="0"/>
              </w:rPr>
            </w:pPr>
            <w:r w:rsidRPr="007760C4">
              <w:rPr>
                <w:b w:val="0"/>
              </w:rPr>
              <w:t>Etat civil, identité, données d'identification</w:t>
            </w:r>
            <w:r w:rsidR="002F1B14">
              <w:rPr>
                <w:b w:val="0"/>
              </w:rPr>
              <w:t>…</w:t>
            </w:r>
          </w:p>
        </w:tc>
        <w:tc>
          <w:tcPr>
            <w:tcW w:w="4719" w:type="dxa"/>
            <w:shd w:val="clear" w:color="auto" w:fill="auto"/>
          </w:tcPr>
          <w:p w14:paraId="0C7B0507" w14:textId="704D81A4" w:rsidR="007760C4" w:rsidRPr="007760C4" w:rsidRDefault="007760C4" w:rsidP="00590EE1">
            <w:pPr>
              <w:jc w:val="center"/>
              <w:cnfStyle w:val="000000100000" w:firstRow="0" w:lastRow="0" w:firstColumn="0" w:lastColumn="0" w:oddVBand="0" w:evenVBand="0" w:oddHBand="1" w:evenHBand="0" w:firstRowFirstColumn="0" w:firstRowLastColumn="0" w:lastRowFirstColumn="0" w:lastRowLastColumn="0"/>
            </w:pPr>
          </w:p>
        </w:tc>
      </w:tr>
      <w:tr w:rsidR="002F1B14" w:rsidRPr="007760C4" w14:paraId="24D3E8B5" w14:textId="77777777" w:rsidTr="007760C4">
        <w:tc>
          <w:tcPr>
            <w:cnfStyle w:val="001000000000" w:firstRow="0" w:lastRow="0" w:firstColumn="1" w:lastColumn="0" w:oddVBand="0" w:evenVBand="0" w:oddHBand="0" w:evenHBand="0" w:firstRowFirstColumn="0" w:firstRowLastColumn="0" w:lastRowFirstColumn="0" w:lastRowLastColumn="0"/>
            <w:tcW w:w="5475" w:type="dxa"/>
            <w:shd w:val="clear" w:color="auto" w:fill="DBE5F1" w:themeFill="accent1" w:themeFillTint="33"/>
          </w:tcPr>
          <w:p w14:paraId="7C70A0F7" w14:textId="06B08671" w:rsidR="002F1B14" w:rsidRPr="002F1B14" w:rsidRDefault="002F1B14" w:rsidP="002F1B14">
            <w:pPr>
              <w:rPr>
                <w:b w:val="0"/>
              </w:rPr>
            </w:pPr>
            <w:r w:rsidRPr="002F1B14">
              <w:rPr>
                <w:b w:val="0"/>
              </w:rPr>
              <w:t>Coordonnées</w:t>
            </w:r>
          </w:p>
        </w:tc>
        <w:tc>
          <w:tcPr>
            <w:tcW w:w="4719" w:type="dxa"/>
            <w:shd w:val="clear" w:color="auto" w:fill="DBE5F1" w:themeFill="accent1" w:themeFillTint="33"/>
          </w:tcPr>
          <w:p w14:paraId="07DC2DC1" w14:textId="77777777" w:rsidR="002F1B14" w:rsidRPr="007760C4" w:rsidRDefault="002F1B14" w:rsidP="00590EE1">
            <w:pPr>
              <w:jc w:val="center"/>
              <w:cnfStyle w:val="000000000000" w:firstRow="0" w:lastRow="0" w:firstColumn="0" w:lastColumn="0" w:oddVBand="0" w:evenVBand="0" w:oddHBand="0" w:evenHBand="0" w:firstRowFirstColumn="0" w:firstRowLastColumn="0" w:lastRowFirstColumn="0" w:lastRowLastColumn="0"/>
            </w:pPr>
          </w:p>
        </w:tc>
      </w:tr>
      <w:tr w:rsidR="007760C4" w:rsidRPr="007760C4" w14:paraId="67E5E128" w14:textId="77777777" w:rsidTr="00342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5" w:type="dxa"/>
            <w:shd w:val="clear" w:color="auto" w:fill="auto"/>
          </w:tcPr>
          <w:p w14:paraId="51A3B7B5" w14:textId="77777777" w:rsidR="007760C4" w:rsidRPr="007760C4" w:rsidRDefault="007760C4" w:rsidP="00590EE1">
            <w:pPr>
              <w:rPr>
                <w:b w:val="0"/>
              </w:rPr>
            </w:pPr>
            <w:r w:rsidRPr="007760C4">
              <w:rPr>
                <w:b w:val="0"/>
              </w:rPr>
              <w:t>Vie personnelle (habitudes de vie, situation familiale, etc.)</w:t>
            </w:r>
          </w:p>
        </w:tc>
        <w:tc>
          <w:tcPr>
            <w:tcW w:w="4719" w:type="dxa"/>
            <w:shd w:val="clear" w:color="auto" w:fill="auto"/>
          </w:tcPr>
          <w:p w14:paraId="10CB7220" w14:textId="27B75BB2" w:rsidR="007760C4" w:rsidRPr="007760C4" w:rsidRDefault="007760C4" w:rsidP="00590EE1">
            <w:pPr>
              <w:jc w:val="center"/>
              <w:cnfStyle w:val="000000100000" w:firstRow="0" w:lastRow="0" w:firstColumn="0" w:lastColumn="0" w:oddVBand="0" w:evenVBand="0" w:oddHBand="1" w:evenHBand="0" w:firstRowFirstColumn="0" w:firstRowLastColumn="0" w:lastRowFirstColumn="0" w:lastRowLastColumn="0"/>
            </w:pPr>
          </w:p>
        </w:tc>
      </w:tr>
      <w:tr w:rsidR="007760C4" w:rsidRPr="007760C4" w14:paraId="769BE3B0" w14:textId="77777777" w:rsidTr="007760C4">
        <w:tc>
          <w:tcPr>
            <w:cnfStyle w:val="001000000000" w:firstRow="0" w:lastRow="0" w:firstColumn="1" w:lastColumn="0" w:oddVBand="0" w:evenVBand="0" w:oddHBand="0" w:evenHBand="0" w:firstRowFirstColumn="0" w:firstRowLastColumn="0" w:lastRowFirstColumn="0" w:lastRowLastColumn="0"/>
            <w:tcW w:w="5475" w:type="dxa"/>
            <w:shd w:val="clear" w:color="auto" w:fill="DBE5F1" w:themeFill="accent1" w:themeFillTint="33"/>
          </w:tcPr>
          <w:p w14:paraId="78FBA9D3" w14:textId="77777777" w:rsidR="007760C4" w:rsidRPr="007760C4" w:rsidRDefault="007760C4" w:rsidP="00590EE1">
            <w:pPr>
              <w:rPr>
                <w:b w:val="0"/>
              </w:rPr>
            </w:pPr>
            <w:r w:rsidRPr="007760C4">
              <w:rPr>
                <w:b w:val="0"/>
              </w:rPr>
              <w:t>Informations d'ordre économique et financier (revenus, situation financière, situation fiscale, etc.)</w:t>
            </w:r>
          </w:p>
        </w:tc>
        <w:tc>
          <w:tcPr>
            <w:tcW w:w="4719" w:type="dxa"/>
            <w:shd w:val="clear" w:color="auto" w:fill="DBE5F1" w:themeFill="accent1" w:themeFillTint="33"/>
          </w:tcPr>
          <w:p w14:paraId="69AEEBE0" w14:textId="41B559E7" w:rsidR="007760C4" w:rsidRPr="007760C4" w:rsidRDefault="007760C4" w:rsidP="00590EE1">
            <w:pPr>
              <w:jc w:val="center"/>
              <w:cnfStyle w:val="000000000000" w:firstRow="0" w:lastRow="0" w:firstColumn="0" w:lastColumn="0" w:oddVBand="0" w:evenVBand="0" w:oddHBand="0" w:evenHBand="0" w:firstRowFirstColumn="0" w:firstRowLastColumn="0" w:lastRowFirstColumn="0" w:lastRowLastColumn="0"/>
            </w:pPr>
          </w:p>
        </w:tc>
      </w:tr>
      <w:tr w:rsidR="007760C4" w:rsidRPr="007760C4" w14:paraId="685EC8FB" w14:textId="77777777" w:rsidTr="00342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5" w:type="dxa"/>
            <w:shd w:val="clear" w:color="auto" w:fill="auto"/>
          </w:tcPr>
          <w:p w14:paraId="70D1F94B" w14:textId="3BA423A2" w:rsidR="007760C4" w:rsidRPr="007760C4" w:rsidRDefault="007760C4" w:rsidP="00590EE1">
            <w:pPr>
              <w:rPr>
                <w:b w:val="0"/>
              </w:rPr>
            </w:pPr>
            <w:r w:rsidRPr="007760C4">
              <w:rPr>
                <w:b w:val="0"/>
              </w:rPr>
              <w:t>Image</w:t>
            </w:r>
          </w:p>
        </w:tc>
        <w:tc>
          <w:tcPr>
            <w:tcW w:w="4719" w:type="dxa"/>
            <w:shd w:val="clear" w:color="auto" w:fill="auto"/>
          </w:tcPr>
          <w:p w14:paraId="425595C0" w14:textId="77777777" w:rsidR="007760C4" w:rsidRPr="007760C4" w:rsidRDefault="007760C4" w:rsidP="00590EE1">
            <w:pPr>
              <w:jc w:val="center"/>
              <w:cnfStyle w:val="000000100000" w:firstRow="0" w:lastRow="0" w:firstColumn="0" w:lastColumn="0" w:oddVBand="0" w:evenVBand="0" w:oddHBand="1" w:evenHBand="0" w:firstRowFirstColumn="0" w:firstRowLastColumn="0" w:lastRowFirstColumn="0" w:lastRowLastColumn="0"/>
            </w:pPr>
          </w:p>
        </w:tc>
      </w:tr>
      <w:tr w:rsidR="007760C4" w:rsidRPr="007760C4" w14:paraId="7DE86B5A" w14:textId="77777777" w:rsidTr="007760C4">
        <w:tc>
          <w:tcPr>
            <w:cnfStyle w:val="001000000000" w:firstRow="0" w:lastRow="0" w:firstColumn="1" w:lastColumn="0" w:oddVBand="0" w:evenVBand="0" w:oddHBand="0" w:evenHBand="0" w:firstRowFirstColumn="0" w:firstRowLastColumn="0" w:lastRowFirstColumn="0" w:lastRowLastColumn="0"/>
            <w:tcW w:w="5475" w:type="dxa"/>
            <w:shd w:val="clear" w:color="auto" w:fill="DBE5F1" w:themeFill="accent1" w:themeFillTint="33"/>
          </w:tcPr>
          <w:p w14:paraId="557AC5AE" w14:textId="77777777" w:rsidR="007760C4" w:rsidRPr="007760C4" w:rsidRDefault="007760C4" w:rsidP="00590EE1">
            <w:pPr>
              <w:rPr>
                <w:b w:val="0"/>
              </w:rPr>
            </w:pPr>
            <w:r w:rsidRPr="007760C4">
              <w:rPr>
                <w:b w:val="0"/>
              </w:rPr>
              <w:t>Données de connexion (adresse IP, logs, etc.)</w:t>
            </w:r>
          </w:p>
        </w:tc>
        <w:tc>
          <w:tcPr>
            <w:tcW w:w="4719" w:type="dxa"/>
            <w:shd w:val="clear" w:color="auto" w:fill="DBE5F1" w:themeFill="accent1" w:themeFillTint="33"/>
          </w:tcPr>
          <w:p w14:paraId="61FE9008" w14:textId="788D758E" w:rsidR="007760C4" w:rsidRPr="007760C4" w:rsidRDefault="007760C4" w:rsidP="00590EE1">
            <w:pPr>
              <w:jc w:val="center"/>
              <w:cnfStyle w:val="000000000000" w:firstRow="0" w:lastRow="0" w:firstColumn="0" w:lastColumn="0" w:oddVBand="0" w:evenVBand="0" w:oddHBand="0" w:evenHBand="0" w:firstRowFirstColumn="0" w:firstRowLastColumn="0" w:lastRowFirstColumn="0" w:lastRowLastColumn="0"/>
            </w:pPr>
          </w:p>
        </w:tc>
      </w:tr>
      <w:tr w:rsidR="007760C4" w:rsidRPr="007760C4" w14:paraId="3CBD3ABE" w14:textId="77777777" w:rsidTr="00342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5" w:type="dxa"/>
            <w:shd w:val="clear" w:color="auto" w:fill="auto"/>
          </w:tcPr>
          <w:p w14:paraId="586B63D7" w14:textId="77777777" w:rsidR="007760C4" w:rsidRPr="007760C4" w:rsidRDefault="007760C4" w:rsidP="00590EE1">
            <w:pPr>
              <w:rPr>
                <w:b w:val="0"/>
              </w:rPr>
            </w:pPr>
            <w:r w:rsidRPr="007760C4">
              <w:rPr>
                <w:b w:val="0"/>
              </w:rPr>
              <w:lastRenderedPageBreak/>
              <w:t>Données de localisation (déplacements, données GPS, GSM, etc.)</w:t>
            </w:r>
          </w:p>
        </w:tc>
        <w:tc>
          <w:tcPr>
            <w:tcW w:w="4719" w:type="dxa"/>
            <w:shd w:val="clear" w:color="auto" w:fill="auto"/>
          </w:tcPr>
          <w:p w14:paraId="2AE20A98" w14:textId="7E557CA4" w:rsidR="007760C4" w:rsidRPr="007760C4" w:rsidRDefault="007760C4" w:rsidP="00590EE1">
            <w:pPr>
              <w:jc w:val="center"/>
              <w:cnfStyle w:val="000000100000" w:firstRow="0" w:lastRow="0" w:firstColumn="0" w:lastColumn="0" w:oddVBand="0" w:evenVBand="0" w:oddHBand="1" w:evenHBand="0" w:firstRowFirstColumn="0" w:firstRowLastColumn="0" w:lastRowFirstColumn="0" w:lastRowLastColumn="0"/>
            </w:pPr>
          </w:p>
        </w:tc>
      </w:tr>
      <w:tr w:rsidR="007760C4" w:rsidRPr="007760C4" w14:paraId="6D897C62" w14:textId="77777777" w:rsidTr="007760C4">
        <w:tc>
          <w:tcPr>
            <w:cnfStyle w:val="001000000000" w:firstRow="0" w:lastRow="0" w:firstColumn="1" w:lastColumn="0" w:oddVBand="0" w:evenVBand="0" w:oddHBand="0" w:evenHBand="0" w:firstRowFirstColumn="0" w:firstRowLastColumn="0" w:lastRowFirstColumn="0" w:lastRowLastColumn="0"/>
            <w:tcW w:w="5475" w:type="dxa"/>
            <w:shd w:val="clear" w:color="auto" w:fill="DBE5F1" w:themeFill="accent1" w:themeFillTint="33"/>
          </w:tcPr>
          <w:p w14:paraId="4283567A" w14:textId="6218436A" w:rsidR="007760C4" w:rsidRPr="007760C4" w:rsidRDefault="007760C4" w:rsidP="00590EE1">
            <w:pPr>
              <w:rPr>
                <w:b w:val="0"/>
              </w:rPr>
            </w:pPr>
            <w:r w:rsidRPr="007760C4">
              <w:rPr>
                <w:b w:val="0"/>
              </w:rPr>
              <w:t xml:space="preserve">Données bancaires </w:t>
            </w:r>
          </w:p>
        </w:tc>
        <w:tc>
          <w:tcPr>
            <w:tcW w:w="4719" w:type="dxa"/>
            <w:shd w:val="clear" w:color="auto" w:fill="DBE5F1" w:themeFill="accent1" w:themeFillTint="33"/>
          </w:tcPr>
          <w:p w14:paraId="43995CCA" w14:textId="77777777" w:rsidR="007760C4" w:rsidRPr="007760C4" w:rsidRDefault="007760C4" w:rsidP="00590EE1">
            <w:pPr>
              <w:jc w:val="center"/>
              <w:cnfStyle w:val="000000000000" w:firstRow="0" w:lastRow="0" w:firstColumn="0" w:lastColumn="0" w:oddVBand="0" w:evenVBand="0" w:oddHBand="0" w:evenHBand="0" w:firstRowFirstColumn="0" w:firstRowLastColumn="0" w:lastRowFirstColumn="0" w:lastRowLastColumn="0"/>
            </w:pPr>
          </w:p>
        </w:tc>
      </w:tr>
      <w:tr w:rsidR="007760C4" w:rsidRPr="007760C4" w14:paraId="4D967391" w14:textId="77777777" w:rsidTr="00342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5" w:type="dxa"/>
            <w:shd w:val="clear" w:color="auto" w:fill="auto"/>
          </w:tcPr>
          <w:p w14:paraId="4E75B4FC" w14:textId="77777777" w:rsidR="007760C4" w:rsidRPr="007760C4" w:rsidRDefault="007760C4" w:rsidP="00590EE1">
            <w:pPr>
              <w:rPr>
                <w:b w:val="0"/>
              </w:rPr>
            </w:pPr>
            <w:r w:rsidRPr="007760C4">
              <w:rPr>
                <w:b w:val="0"/>
              </w:rPr>
              <w:t>Données révélant l'origine raciale ou ethnique</w:t>
            </w:r>
          </w:p>
        </w:tc>
        <w:tc>
          <w:tcPr>
            <w:tcW w:w="4719" w:type="dxa"/>
            <w:shd w:val="clear" w:color="auto" w:fill="auto"/>
          </w:tcPr>
          <w:p w14:paraId="14AD0B48" w14:textId="5C010BB6" w:rsidR="007760C4" w:rsidRPr="007760C4" w:rsidRDefault="007760C4" w:rsidP="00590EE1">
            <w:pPr>
              <w:jc w:val="center"/>
              <w:cnfStyle w:val="000000100000" w:firstRow="0" w:lastRow="0" w:firstColumn="0" w:lastColumn="0" w:oddVBand="0" w:evenVBand="0" w:oddHBand="1" w:evenHBand="0" w:firstRowFirstColumn="0" w:firstRowLastColumn="0" w:lastRowFirstColumn="0" w:lastRowLastColumn="0"/>
            </w:pPr>
          </w:p>
        </w:tc>
      </w:tr>
      <w:tr w:rsidR="007760C4" w:rsidRPr="007760C4" w14:paraId="2DF0523B" w14:textId="77777777" w:rsidTr="007760C4">
        <w:tc>
          <w:tcPr>
            <w:cnfStyle w:val="001000000000" w:firstRow="0" w:lastRow="0" w:firstColumn="1" w:lastColumn="0" w:oddVBand="0" w:evenVBand="0" w:oddHBand="0" w:evenHBand="0" w:firstRowFirstColumn="0" w:firstRowLastColumn="0" w:lastRowFirstColumn="0" w:lastRowLastColumn="0"/>
            <w:tcW w:w="5475" w:type="dxa"/>
            <w:shd w:val="clear" w:color="auto" w:fill="DBE5F1" w:themeFill="accent1" w:themeFillTint="33"/>
          </w:tcPr>
          <w:p w14:paraId="1FDC542D" w14:textId="77777777" w:rsidR="007760C4" w:rsidRPr="007760C4" w:rsidRDefault="007760C4" w:rsidP="00590EE1">
            <w:pPr>
              <w:rPr>
                <w:b w:val="0"/>
              </w:rPr>
            </w:pPr>
            <w:r w:rsidRPr="007760C4">
              <w:rPr>
                <w:b w:val="0"/>
              </w:rPr>
              <w:t>Données révélant les opinions politiques</w:t>
            </w:r>
          </w:p>
        </w:tc>
        <w:tc>
          <w:tcPr>
            <w:tcW w:w="4719" w:type="dxa"/>
            <w:shd w:val="clear" w:color="auto" w:fill="DBE5F1" w:themeFill="accent1" w:themeFillTint="33"/>
          </w:tcPr>
          <w:p w14:paraId="6295F54C" w14:textId="1A68810B" w:rsidR="007760C4" w:rsidRPr="007760C4" w:rsidRDefault="007760C4" w:rsidP="00590EE1">
            <w:pPr>
              <w:jc w:val="center"/>
              <w:cnfStyle w:val="000000000000" w:firstRow="0" w:lastRow="0" w:firstColumn="0" w:lastColumn="0" w:oddVBand="0" w:evenVBand="0" w:oddHBand="0" w:evenHBand="0" w:firstRowFirstColumn="0" w:firstRowLastColumn="0" w:lastRowFirstColumn="0" w:lastRowLastColumn="0"/>
            </w:pPr>
          </w:p>
        </w:tc>
      </w:tr>
      <w:tr w:rsidR="007760C4" w:rsidRPr="007760C4" w14:paraId="30240174" w14:textId="77777777" w:rsidTr="00342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5" w:type="dxa"/>
            <w:shd w:val="clear" w:color="auto" w:fill="auto"/>
          </w:tcPr>
          <w:p w14:paraId="778F714E" w14:textId="77777777" w:rsidR="007760C4" w:rsidRPr="007760C4" w:rsidRDefault="007760C4" w:rsidP="00590EE1">
            <w:pPr>
              <w:rPr>
                <w:b w:val="0"/>
              </w:rPr>
            </w:pPr>
            <w:r w:rsidRPr="007760C4">
              <w:rPr>
                <w:b w:val="0"/>
              </w:rPr>
              <w:t>Données révélant les convictions religieuses ou philosophiques </w:t>
            </w:r>
          </w:p>
        </w:tc>
        <w:tc>
          <w:tcPr>
            <w:tcW w:w="4719" w:type="dxa"/>
            <w:shd w:val="clear" w:color="auto" w:fill="auto"/>
          </w:tcPr>
          <w:p w14:paraId="54FAAF4D" w14:textId="6C488E81" w:rsidR="007760C4" w:rsidRPr="007760C4" w:rsidRDefault="007760C4" w:rsidP="00590EE1">
            <w:pPr>
              <w:jc w:val="center"/>
              <w:cnfStyle w:val="000000100000" w:firstRow="0" w:lastRow="0" w:firstColumn="0" w:lastColumn="0" w:oddVBand="0" w:evenVBand="0" w:oddHBand="1" w:evenHBand="0" w:firstRowFirstColumn="0" w:firstRowLastColumn="0" w:lastRowFirstColumn="0" w:lastRowLastColumn="0"/>
            </w:pPr>
          </w:p>
        </w:tc>
      </w:tr>
      <w:tr w:rsidR="007760C4" w:rsidRPr="007760C4" w14:paraId="61780A87" w14:textId="77777777" w:rsidTr="007760C4">
        <w:tc>
          <w:tcPr>
            <w:cnfStyle w:val="001000000000" w:firstRow="0" w:lastRow="0" w:firstColumn="1" w:lastColumn="0" w:oddVBand="0" w:evenVBand="0" w:oddHBand="0" w:evenHBand="0" w:firstRowFirstColumn="0" w:firstRowLastColumn="0" w:lastRowFirstColumn="0" w:lastRowLastColumn="0"/>
            <w:tcW w:w="5475" w:type="dxa"/>
            <w:shd w:val="clear" w:color="auto" w:fill="DBE5F1" w:themeFill="accent1" w:themeFillTint="33"/>
          </w:tcPr>
          <w:p w14:paraId="705888DE" w14:textId="77777777" w:rsidR="007760C4" w:rsidRPr="007760C4" w:rsidRDefault="007760C4" w:rsidP="00590EE1">
            <w:pPr>
              <w:rPr>
                <w:b w:val="0"/>
              </w:rPr>
            </w:pPr>
            <w:r w:rsidRPr="007760C4">
              <w:rPr>
                <w:b w:val="0"/>
              </w:rPr>
              <w:t>Données révélant l'appartenance syndicale</w:t>
            </w:r>
          </w:p>
        </w:tc>
        <w:tc>
          <w:tcPr>
            <w:tcW w:w="4719" w:type="dxa"/>
            <w:shd w:val="clear" w:color="auto" w:fill="DBE5F1" w:themeFill="accent1" w:themeFillTint="33"/>
          </w:tcPr>
          <w:p w14:paraId="0F87A2AA" w14:textId="2A002514" w:rsidR="007760C4" w:rsidRPr="007760C4" w:rsidRDefault="007760C4" w:rsidP="00590EE1">
            <w:pPr>
              <w:jc w:val="center"/>
              <w:cnfStyle w:val="000000000000" w:firstRow="0" w:lastRow="0" w:firstColumn="0" w:lastColumn="0" w:oddVBand="0" w:evenVBand="0" w:oddHBand="0" w:evenHBand="0" w:firstRowFirstColumn="0" w:firstRowLastColumn="0" w:lastRowFirstColumn="0" w:lastRowLastColumn="0"/>
            </w:pPr>
          </w:p>
        </w:tc>
      </w:tr>
      <w:tr w:rsidR="007760C4" w:rsidRPr="007760C4" w14:paraId="5ABE08B1" w14:textId="77777777" w:rsidTr="00342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5" w:type="dxa"/>
            <w:shd w:val="clear" w:color="auto" w:fill="auto"/>
          </w:tcPr>
          <w:p w14:paraId="5538D4C7" w14:textId="77777777" w:rsidR="007760C4" w:rsidRPr="007760C4" w:rsidRDefault="007760C4" w:rsidP="00590EE1">
            <w:pPr>
              <w:rPr>
                <w:b w:val="0"/>
              </w:rPr>
            </w:pPr>
            <w:r w:rsidRPr="007760C4">
              <w:rPr>
                <w:b w:val="0"/>
              </w:rPr>
              <w:t>Données génétiques</w:t>
            </w:r>
          </w:p>
        </w:tc>
        <w:tc>
          <w:tcPr>
            <w:tcW w:w="4719" w:type="dxa"/>
            <w:shd w:val="clear" w:color="auto" w:fill="auto"/>
          </w:tcPr>
          <w:p w14:paraId="0047BA2D" w14:textId="56540ADA" w:rsidR="007760C4" w:rsidRPr="007760C4" w:rsidRDefault="007760C4" w:rsidP="00590EE1">
            <w:pPr>
              <w:jc w:val="center"/>
              <w:cnfStyle w:val="000000100000" w:firstRow="0" w:lastRow="0" w:firstColumn="0" w:lastColumn="0" w:oddVBand="0" w:evenVBand="0" w:oddHBand="1" w:evenHBand="0" w:firstRowFirstColumn="0" w:firstRowLastColumn="0" w:lastRowFirstColumn="0" w:lastRowLastColumn="0"/>
            </w:pPr>
          </w:p>
        </w:tc>
      </w:tr>
      <w:tr w:rsidR="007760C4" w:rsidRPr="007760C4" w14:paraId="72516B11" w14:textId="77777777" w:rsidTr="007760C4">
        <w:tc>
          <w:tcPr>
            <w:cnfStyle w:val="001000000000" w:firstRow="0" w:lastRow="0" w:firstColumn="1" w:lastColumn="0" w:oddVBand="0" w:evenVBand="0" w:oddHBand="0" w:evenHBand="0" w:firstRowFirstColumn="0" w:firstRowLastColumn="0" w:lastRowFirstColumn="0" w:lastRowLastColumn="0"/>
            <w:tcW w:w="5475" w:type="dxa"/>
            <w:shd w:val="clear" w:color="auto" w:fill="DBE5F1" w:themeFill="accent1" w:themeFillTint="33"/>
          </w:tcPr>
          <w:p w14:paraId="47605EEB" w14:textId="77777777" w:rsidR="007760C4" w:rsidRPr="007760C4" w:rsidRDefault="007760C4" w:rsidP="00590EE1">
            <w:pPr>
              <w:rPr>
                <w:b w:val="0"/>
              </w:rPr>
            </w:pPr>
            <w:r w:rsidRPr="007760C4">
              <w:rPr>
                <w:b w:val="0"/>
              </w:rPr>
              <w:t>Données biométriques aux fins d'identifier une personne physique de manière unique</w:t>
            </w:r>
          </w:p>
        </w:tc>
        <w:tc>
          <w:tcPr>
            <w:tcW w:w="4719" w:type="dxa"/>
            <w:shd w:val="clear" w:color="auto" w:fill="DBE5F1" w:themeFill="accent1" w:themeFillTint="33"/>
          </w:tcPr>
          <w:p w14:paraId="572645D2" w14:textId="01DFAE28" w:rsidR="007760C4" w:rsidRPr="007760C4" w:rsidRDefault="007760C4" w:rsidP="00590EE1">
            <w:pPr>
              <w:jc w:val="center"/>
              <w:cnfStyle w:val="000000000000" w:firstRow="0" w:lastRow="0" w:firstColumn="0" w:lastColumn="0" w:oddVBand="0" w:evenVBand="0" w:oddHBand="0" w:evenHBand="0" w:firstRowFirstColumn="0" w:firstRowLastColumn="0" w:lastRowFirstColumn="0" w:lastRowLastColumn="0"/>
            </w:pPr>
          </w:p>
        </w:tc>
      </w:tr>
      <w:tr w:rsidR="007760C4" w:rsidRPr="007760C4" w14:paraId="450228BD" w14:textId="77777777" w:rsidTr="00342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5" w:type="dxa"/>
            <w:shd w:val="clear" w:color="auto" w:fill="auto"/>
          </w:tcPr>
          <w:p w14:paraId="38856CF4" w14:textId="77777777" w:rsidR="007760C4" w:rsidRPr="007760C4" w:rsidRDefault="007760C4" w:rsidP="00590EE1">
            <w:pPr>
              <w:rPr>
                <w:b w:val="0"/>
              </w:rPr>
            </w:pPr>
            <w:r w:rsidRPr="007760C4">
              <w:rPr>
                <w:b w:val="0"/>
              </w:rPr>
              <w:t>Données concernant la santé</w:t>
            </w:r>
          </w:p>
        </w:tc>
        <w:tc>
          <w:tcPr>
            <w:tcW w:w="4719" w:type="dxa"/>
            <w:shd w:val="clear" w:color="auto" w:fill="auto"/>
          </w:tcPr>
          <w:p w14:paraId="71B19731" w14:textId="03572F24" w:rsidR="007760C4" w:rsidRPr="007760C4" w:rsidRDefault="007760C4" w:rsidP="00590EE1">
            <w:pPr>
              <w:jc w:val="center"/>
              <w:cnfStyle w:val="000000100000" w:firstRow="0" w:lastRow="0" w:firstColumn="0" w:lastColumn="0" w:oddVBand="0" w:evenVBand="0" w:oddHBand="1" w:evenHBand="0" w:firstRowFirstColumn="0" w:firstRowLastColumn="0" w:lastRowFirstColumn="0" w:lastRowLastColumn="0"/>
            </w:pPr>
          </w:p>
        </w:tc>
      </w:tr>
      <w:tr w:rsidR="007760C4" w:rsidRPr="007760C4" w14:paraId="1599EAC6" w14:textId="77777777" w:rsidTr="007760C4">
        <w:tc>
          <w:tcPr>
            <w:cnfStyle w:val="001000000000" w:firstRow="0" w:lastRow="0" w:firstColumn="1" w:lastColumn="0" w:oddVBand="0" w:evenVBand="0" w:oddHBand="0" w:evenHBand="0" w:firstRowFirstColumn="0" w:firstRowLastColumn="0" w:lastRowFirstColumn="0" w:lastRowLastColumn="0"/>
            <w:tcW w:w="5475" w:type="dxa"/>
            <w:shd w:val="clear" w:color="auto" w:fill="DBE5F1" w:themeFill="accent1" w:themeFillTint="33"/>
          </w:tcPr>
          <w:p w14:paraId="7EE1B0E6" w14:textId="77777777" w:rsidR="007760C4" w:rsidRPr="007760C4" w:rsidRDefault="007760C4" w:rsidP="00590EE1">
            <w:pPr>
              <w:rPr>
                <w:b w:val="0"/>
              </w:rPr>
            </w:pPr>
            <w:r w:rsidRPr="007760C4">
              <w:rPr>
                <w:b w:val="0"/>
              </w:rPr>
              <w:t xml:space="preserve">Données concernant la vie sexuelle ou l'orientation sexuelle </w:t>
            </w:r>
          </w:p>
        </w:tc>
        <w:tc>
          <w:tcPr>
            <w:tcW w:w="4719" w:type="dxa"/>
            <w:shd w:val="clear" w:color="auto" w:fill="DBE5F1" w:themeFill="accent1" w:themeFillTint="33"/>
          </w:tcPr>
          <w:p w14:paraId="334C6A61" w14:textId="2603A9BE" w:rsidR="007760C4" w:rsidRPr="007760C4" w:rsidRDefault="007760C4" w:rsidP="00590EE1">
            <w:pPr>
              <w:jc w:val="center"/>
              <w:cnfStyle w:val="000000000000" w:firstRow="0" w:lastRow="0" w:firstColumn="0" w:lastColumn="0" w:oddVBand="0" w:evenVBand="0" w:oddHBand="0" w:evenHBand="0" w:firstRowFirstColumn="0" w:firstRowLastColumn="0" w:lastRowFirstColumn="0" w:lastRowLastColumn="0"/>
            </w:pPr>
          </w:p>
        </w:tc>
      </w:tr>
      <w:tr w:rsidR="007760C4" w:rsidRPr="007760C4" w14:paraId="374A2467" w14:textId="77777777" w:rsidTr="00342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5" w:type="dxa"/>
            <w:shd w:val="clear" w:color="auto" w:fill="auto"/>
          </w:tcPr>
          <w:p w14:paraId="4CD0781C" w14:textId="77777777" w:rsidR="007760C4" w:rsidRPr="007760C4" w:rsidRDefault="007760C4" w:rsidP="00590EE1">
            <w:pPr>
              <w:rPr>
                <w:b w:val="0"/>
              </w:rPr>
            </w:pPr>
            <w:r w:rsidRPr="007760C4">
              <w:rPr>
                <w:b w:val="0"/>
              </w:rPr>
              <w:t>Données relatives à des condamnations pénales ou infractions</w:t>
            </w:r>
          </w:p>
        </w:tc>
        <w:tc>
          <w:tcPr>
            <w:tcW w:w="4719" w:type="dxa"/>
            <w:shd w:val="clear" w:color="auto" w:fill="auto"/>
          </w:tcPr>
          <w:p w14:paraId="749C9D44" w14:textId="7CE68BE0" w:rsidR="007760C4" w:rsidRPr="007760C4" w:rsidRDefault="007760C4" w:rsidP="00590EE1">
            <w:pPr>
              <w:jc w:val="center"/>
              <w:cnfStyle w:val="000000100000" w:firstRow="0" w:lastRow="0" w:firstColumn="0" w:lastColumn="0" w:oddVBand="0" w:evenVBand="0" w:oddHBand="1" w:evenHBand="0" w:firstRowFirstColumn="0" w:firstRowLastColumn="0" w:lastRowFirstColumn="0" w:lastRowLastColumn="0"/>
            </w:pPr>
          </w:p>
        </w:tc>
      </w:tr>
      <w:tr w:rsidR="007760C4" w:rsidRPr="007251EC" w14:paraId="4F87B2F0" w14:textId="77777777" w:rsidTr="007760C4">
        <w:tc>
          <w:tcPr>
            <w:cnfStyle w:val="001000000000" w:firstRow="0" w:lastRow="0" w:firstColumn="1" w:lastColumn="0" w:oddVBand="0" w:evenVBand="0" w:oddHBand="0" w:evenHBand="0" w:firstRowFirstColumn="0" w:firstRowLastColumn="0" w:lastRowFirstColumn="0" w:lastRowLastColumn="0"/>
            <w:tcW w:w="5475" w:type="dxa"/>
            <w:shd w:val="clear" w:color="auto" w:fill="DBE5F1" w:themeFill="accent1" w:themeFillTint="33"/>
          </w:tcPr>
          <w:p w14:paraId="32635012" w14:textId="77777777" w:rsidR="007760C4" w:rsidRPr="007760C4" w:rsidRDefault="007760C4" w:rsidP="00590EE1">
            <w:pPr>
              <w:rPr>
                <w:b w:val="0"/>
              </w:rPr>
            </w:pPr>
            <w:r w:rsidRPr="007760C4">
              <w:rPr>
                <w:b w:val="0"/>
              </w:rPr>
              <w:t>Numéro d’identification national unique (NIR pour la France)</w:t>
            </w:r>
          </w:p>
        </w:tc>
        <w:tc>
          <w:tcPr>
            <w:tcW w:w="4719" w:type="dxa"/>
            <w:shd w:val="clear" w:color="auto" w:fill="DBE5F1" w:themeFill="accent1" w:themeFillTint="33"/>
          </w:tcPr>
          <w:p w14:paraId="27039569" w14:textId="6AF2AE17" w:rsidR="007760C4" w:rsidRPr="007251EC" w:rsidRDefault="007760C4" w:rsidP="00590EE1">
            <w:pPr>
              <w:jc w:val="center"/>
              <w:cnfStyle w:val="000000000000" w:firstRow="0" w:lastRow="0" w:firstColumn="0" w:lastColumn="0" w:oddVBand="0" w:evenVBand="0" w:oddHBand="0" w:evenHBand="0" w:firstRowFirstColumn="0" w:firstRowLastColumn="0" w:lastRowFirstColumn="0" w:lastRowLastColumn="0"/>
            </w:pPr>
          </w:p>
        </w:tc>
      </w:tr>
      <w:tr w:rsidR="00E07408" w:rsidRPr="007251EC" w14:paraId="1ADFA613" w14:textId="77777777" w:rsidTr="00E074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5" w:type="dxa"/>
            <w:shd w:val="clear" w:color="auto" w:fill="auto"/>
          </w:tcPr>
          <w:p w14:paraId="2DC54179" w14:textId="22796F81" w:rsidR="00E07408" w:rsidRPr="00E07408" w:rsidRDefault="00E07408" w:rsidP="00590EE1">
            <w:pPr>
              <w:rPr>
                <w:b w:val="0"/>
              </w:rPr>
            </w:pPr>
            <w:r w:rsidRPr="00E07408">
              <w:rPr>
                <w:b w:val="0"/>
              </w:rPr>
              <w:t>Données professionnelles</w:t>
            </w:r>
          </w:p>
        </w:tc>
        <w:tc>
          <w:tcPr>
            <w:tcW w:w="4719" w:type="dxa"/>
            <w:shd w:val="clear" w:color="auto" w:fill="auto"/>
          </w:tcPr>
          <w:p w14:paraId="036D804C" w14:textId="77777777" w:rsidR="00E07408" w:rsidRPr="007251EC" w:rsidRDefault="00E07408" w:rsidP="00590EE1">
            <w:pPr>
              <w:jc w:val="center"/>
              <w:cnfStyle w:val="000000100000" w:firstRow="0" w:lastRow="0" w:firstColumn="0" w:lastColumn="0" w:oddVBand="0" w:evenVBand="0" w:oddHBand="1" w:evenHBand="0" w:firstRowFirstColumn="0" w:firstRowLastColumn="0" w:lastRowFirstColumn="0" w:lastRowLastColumn="0"/>
            </w:pPr>
          </w:p>
        </w:tc>
      </w:tr>
    </w:tbl>
    <w:p w14:paraId="2C60FFCD" w14:textId="2888FF17" w:rsidR="002B20D6" w:rsidRDefault="002B20D6" w:rsidP="002B20D6"/>
    <w:p w14:paraId="20423683" w14:textId="6B982539" w:rsidR="002B20D6" w:rsidRDefault="002B20D6" w:rsidP="002B20D6">
      <w:r>
        <w:t>•</w:t>
      </w:r>
      <w:r>
        <w:tab/>
      </w:r>
      <w:commentRangeStart w:id="0"/>
      <w:r>
        <w:t xml:space="preserve">Finalité(s) du traitement </w:t>
      </w:r>
      <w:commentRangeEnd w:id="0"/>
      <w:r w:rsidR="0090677B">
        <w:rPr>
          <w:rStyle w:val="Marquedecommentaire"/>
        </w:rPr>
        <w:commentReference w:id="0"/>
      </w:r>
      <w:r>
        <w:t xml:space="preserve">: </w:t>
      </w:r>
      <w:r w:rsidR="0090677B">
        <w:rPr>
          <w:highlight w:val="yellow"/>
        </w:rPr>
        <w:t>[à compléter</w:t>
      </w:r>
      <w:r w:rsidRPr="002B20D6">
        <w:rPr>
          <w:highlight w:val="yellow"/>
        </w:rPr>
        <w:t>]</w:t>
      </w:r>
    </w:p>
    <w:p w14:paraId="27320DAB" w14:textId="77777777" w:rsidR="002B20D6" w:rsidRDefault="002B20D6" w:rsidP="002B20D6"/>
    <w:p w14:paraId="0ACE0ECE" w14:textId="557E2926" w:rsidR="002B20D6" w:rsidRDefault="002B20D6" w:rsidP="002B20D6">
      <w:r>
        <w:t>•</w:t>
      </w:r>
      <w:r>
        <w:tab/>
      </w:r>
      <w:commentRangeStart w:id="1"/>
      <w:r>
        <w:t>Nature</w:t>
      </w:r>
      <w:commentRangeEnd w:id="1"/>
      <w:r w:rsidR="0090677B">
        <w:rPr>
          <w:rStyle w:val="Marquedecommentaire"/>
        </w:rPr>
        <w:commentReference w:id="1"/>
      </w:r>
      <w:r>
        <w:t xml:space="preserve"> des opérations réalisées sur les données : </w:t>
      </w:r>
      <w:r w:rsidRPr="002B20D6">
        <w:rPr>
          <w:highlight w:val="yellow"/>
        </w:rPr>
        <w:t>[</w:t>
      </w:r>
      <w:r w:rsidR="0090677B">
        <w:rPr>
          <w:highlight w:val="yellow"/>
        </w:rPr>
        <w:t>à compléter</w:t>
      </w:r>
      <w:r w:rsidRPr="002B20D6">
        <w:rPr>
          <w:highlight w:val="yellow"/>
        </w:rPr>
        <w:t>]</w:t>
      </w:r>
      <w:r>
        <w:t xml:space="preserve"> </w:t>
      </w:r>
    </w:p>
    <w:p w14:paraId="1E1ABBF3" w14:textId="77777777" w:rsidR="002B20D6" w:rsidRDefault="002B20D6" w:rsidP="002B20D6">
      <w:bookmarkStart w:id="2" w:name="_GoBack"/>
      <w:bookmarkEnd w:id="2"/>
    </w:p>
    <w:p w14:paraId="02A90BD9" w14:textId="7E5432A2" w:rsidR="002B20D6" w:rsidRDefault="002B20D6" w:rsidP="002B20D6">
      <w:r>
        <w:t>•</w:t>
      </w:r>
      <w:r>
        <w:tab/>
      </w:r>
      <w:commentRangeStart w:id="3"/>
      <w:r>
        <w:t xml:space="preserve">Catégorie(s) de personnes </w:t>
      </w:r>
      <w:commentRangeEnd w:id="3"/>
      <w:r w:rsidR="0090677B">
        <w:rPr>
          <w:rStyle w:val="Marquedecommentaire"/>
        </w:rPr>
        <w:commentReference w:id="3"/>
      </w:r>
      <w:r>
        <w:t xml:space="preserve">concernées par le traitement : </w:t>
      </w:r>
      <w:r w:rsidR="0090677B">
        <w:rPr>
          <w:highlight w:val="yellow"/>
        </w:rPr>
        <w:t>[à compléter</w:t>
      </w:r>
      <w:r w:rsidRPr="002B20D6">
        <w:rPr>
          <w:highlight w:val="yellow"/>
        </w:rPr>
        <w:t>]</w:t>
      </w:r>
    </w:p>
    <w:p w14:paraId="2A383F5D" w14:textId="77777777" w:rsidR="002B20D6" w:rsidRDefault="002B20D6" w:rsidP="002B20D6"/>
    <w:p w14:paraId="4AE3A578" w14:textId="0960C188" w:rsidR="002B20D6" w:rsidRDefault="002B20D6" w:rsidP="002B20D6">
      <w:r>
        <w:t>•</w:t>
      </w:r>
      <w:r>
        <w:tab/>
      </w:r>
      <w:commentRangeStart w:id="4"/>
      <w:r>
        <w:t>Destinataires des données</w:t>
      </w:r>
      <w:commentRangeEnd w:id="4"/>
      <w:r w:rsidR="0090677B">
        <w:rPr>
          <w:rStyle w:val="Marquedecommentaire"/>
        </w:rPr>
        <w:commentReference w:id="4"/>
      </w:r>
      <w:r>
        <w:t xml:space="preserve"> : </w:t>
      </w:r>
      <w:r w:rsidR="0090677B">
        <w:rPr>
          <w:highlight w:val="yellow"/>
        </w:rPr>
        <w:t>[à compléter</w:t>
      </w:r>
      <w:r w:rsidRPr="002B20D6">
        <w:rPr>
          <w:highlight w:val="yellow"/>
        </w:rPr>
        <w:t>]</w:t>
      </w:r>
    </w:p>
    <w:p w14:paraId="1A4FDB27" w14:textId="77777777" w:rsidR="002B20D6" w:rsidRDefault="002B20D6" w:rsidP="002B20D6"/>
    <w:p w14:paraId="520CCB92" w14:textId="27EAFF4D" w:rsidR="00F50732" w:rsidRDefault="002B20D6" w:rsidP="002B20D6">
      <w:r>
        <w:t>•</w:t>
      </w:r>
      <w:r>
        <w:tab/>
        <w:t xml:space="preserve">Durée du traitement : </w:t>
      </w:r>
      <w:r w:rsidRPr="002B20D6">
        <w:rPr>
          <w:highlight w:val="yellow"/>
        </w:rPr>
        <w:t>[à compléter]</w:t>
      </w:r>
    </w:p>
    <w:p w14:paraId="7D50F786" w14:textId="77777777" w:rsidR="002B20D6" w:rsidRDefault="002B20D6" w:rsidP="002B20D6"/>
    <w:p w14:paraId="4FEA8079" w14:textId="77777777" w:rsidR="00CC4A51" w:rsidRPr="00CC4A51" w:rsidRDefault="00CC4A51" w:rsidP="00E67F7D">
      <w:pPr>
        <w:pStyle w:val="Titre1"/>
      </w:pPr>
      <w:r w:rsidRPr="00CC4A51">
        <w:t>Obligations du sous-traitant vis-à-vis du responsable de traitement</w:t>
      </w:r>
    </w:p>
    <w:p w14:paraId="724F7307" w14:textId="77777777" w:rsidR="00CC4A51" w:rsidRDefault="00CC4A51" w:rsidP="00CC4A51"/>
    <w:p w14:paraId="6CFCC1E9" w14:textId="39952E1D" w:rsidR="00CC4A51" w:rsidRDefault="00CC4A51" w:rsidP="00CC4A51">
      <w:r>
        <w:lastRenderedPageBreak/>
        <w:t>Le sous-traitant s'engage à :</w:t>
      </w:r>
    </w:p>
    <w:p w14:paraId="2B16E2AE" w14:textId="77777777" w:rsidR="00984C1E" w:rsidRDefault="00984C1E" w:rsidP="00CC4A51"/>
    <w:p w14:paraId="37A7F6EA" w14:textId="77777777" w:rsidR="00CC4A51" w:rsidRDefault="00CC4A51" w:rsidP="00CC4A51">
      <w:pPr>
        <w:pStyle w:val="Paragraphedeliste"/>
        <w:numPr>
          <w:ilvl w:val="0"/>
          <w:numId w:val="6"/>
        </w:numPr>
        <w:ind w:left="0" w:firstLine="360"/>
      </w:pPr>
      <w:r>
        <w:t xml:space="preserve">Traiter les données </w:t>
      </w:r>
      <w:r w:rsidRPr="00CC4A51">
        <w:rPr>
          <w:b/>
        </w:rPr>
        <w:t xml:space="preserve">uniquement pour la ou les seule(s) finalité(s) </w:t>
      </w:r>
      <w:r>
        <w:t>qui fait/font l’objet de la sous-traitance.</w:t>
      </w:r>
    </w:p>
    <w:p w14:paraId="41B83ECF" w14:textId="77777777" w:rsidR="00F50732" w:rsidRDefault="00F50732" w:rsidP="00F50732">
      <w:pPr>
        <w:pStyle w:val="Paragraphedeliste"/>
        <w:ind w:left="360"/>
      </w:pPr>
    </w:p>
    <w:p w14:paraId="544E4FD5" w14:textId="4FC3737F" w:rsidR="00CC4A51" w:rsidRDefault="00CC4A51" w:rsidP="00CC4A51">
      <w:pPr>
        <w:pStyle w:val="Paragraphedeliste"/>
        <w:numPr>
          <w:ilvl w:val="0"/>
          <w:numId w:val="6"/>
        </w:numPr>
        <w:ind w:left="0" w:firstLine="360"/>
      </w:pPr>
      <w:r>
        <w:t>Traiter les données </w:t>
      </w:r>
      <w:r>
        <w:rPr>
          <w:rStyle w:val="lev"/>
        </w:rPr>
        <w:t>conformément aux instructions documentées</w:t>
      </w:r>
      <w:r>
        <w:t> du responsable de traitement. Si le sous-traitant considère qu’une instruction constitue une violation du règlement européen sur la protection des données ou de toute autre disposition du droit de l’Union ou du droit des Etats membres relative à la protection des données, il en </w:t>
      </w:r>
      <w:r>
        <w:rPr>
          <w:rStyle w:val="lev"/>
        </w:rPr>
        <w:t>informe immédiatement </w:t>
      </w:r>
      <w: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5B5986E7" w14:textId="77777777" w:rsidR="00F50732" w:rsidRDefault="00F50732" w:rsidP="00F50732"/>
    <w:p w14:paraId="149934AC" w14:textId="77777777" w:rsidR="00A366BB" w:rsidRDefault="00CC4A51" w:rsidP="00A66BCE">
      <w:pPr>
        <w:pStyle w:val="Paragraphedeliste"/>
        <w:numPr>
          <w:ilvl w:val="0"/>
          <w:numId w:val="6"/>
        </w:numPr>
        <w:ind w:left="0" w:firstLine="360"/>
      </w:pPr>
      <w:r w:rsidRPr="00CC4A51">
        <w:rPr>
          <w:b/>
        </w:rPr>
        <w:t>Garantir la confidentialité</w:t>
      </w:r>
      <w:r>
        <w:t xml:space="preserve"> des données à caractère personnel traitées dans le cadre du présent contrat.</w:t>
      </w:r>
      <w:r w:rsidR="00A66BCE">
        <w:t xml:space="preserve"> </w:t>
      </w:r>
    </w:p>
    <w:p w14:paraId="54865B69" w14:textId="77777777" w:rsidR="00A366BB" w:rsidRDefault="00A366BB" w:rsidP="00A366BB">
      <w:pPr>
        <w:pStyle w:val="Paragraphedeliste"/>
      </w:pPr>
    </w:p>
    <w:p w14:paraId="416DBC70" w14:textId="77777777" w:rsidR="00CC4A51" w:rsidRDefault="00CC4A51" w:rsidP="00A66BCE">
      <w:pPr>
        <w:pStyle w:val="Paragraphedeliste"/>
        <w:numPr>
          <w:ilvl w:val="0"/>
          <w:numId w:val="6"/>
        </w:numPr>
        <w:ind w:left="0" w:firstLine="360"/>
      </w:pPr>
      <w:r>
        <w:t xml:space="preserve">Veiller à ce que </w:t>
      </w:r>
      <w:r w:rsidRPr="00E67F7D">
        <w:rPr>
          <w:b/>
        </w:rPr>
        <w:t>les personnes autorisées à traiter les données à caractère personnel</w:t>
      </w:r>
      <w:r>
        <w:t xml:space="preserve"> en vertu du présent contrat :</w:t>
      </w:r>
    </w:p>
    <w:p w14:paraId="29E2E0BE" w14:textId="77777777" w:rsidR="00CC4A51" w:rsidRDefault="00CC4A51" w:rsidP="0031253A">
      <w:pPr>
        <w:pStyle w:val="Paragraphedeliste"/>
        <w:numPr>
          <w:ilvl w:val="0"/>
          <w:numId w:val="7"/>
        </w:numPr>
        <w:ind w:left="0" w:firstLine="426"/>
      </w:pPr>
      <w:proofErr w:type="gramStart"/>
      <w:r>
        <w:t>s’engagent</w:t>
      </w:r>
      <w:proofErr w:type="gramEnd"/>
      <w:r>
        <w:t xml:space="preserve"> à respecter la confidentialité ou soient soumises à une obligation légale appropriée de confidentialité ;</w:t>
      </w:r>
    </w:p>
    <w:p w14:paraId="7FD49A82" w14:textId="77777777" w:rsidR="00CC4A51" w:rsidRDefault="00CC4A51" w:rsidP="0031253A">
      <w:pPr>
        <w:pStyle w:val="Paragraphedeliste"/>
        <w:numPr>
          <w:ilvl w:val="0"/>
          <w:numId w:val="7"/>
        </w:numPr>
        <w:ind w:left="0" w:firstLine="426"/>
      </w:pPr>
      <w:proofErr w:type="gramStart"/>
      <w:r>
        <w:t>reçoivent</w:t>
      </w:r>
      <w:proofErr w:type="gramEnd"/>
      <w:r>
        <w:t xml:space="preserve"> la formation nécessaire en matière de protection des données à caractère personnel.</w:t>
      </w:r>
    </w:p>
    <w:p w14:paraId="1A3863FE" w14:textId="77777777" w:rsidR="00F50732" w:rsidRDefault="00F50732" w:rsidP="00F50732">
      <w:pPr>
        <w:pStyle w:val="Paragraphedeliste"/>
        <w:ind w:left="426"/>
      </w:pPr>
    </w:p>
    <w:p w14:paraId="0060B702" w14:textId="77777777" w:rsidR="00CC4A51" w:rsidRPr="00F50732" w:rsidRDefault="00CC4A51" w:rsidP="00CC4A51">
      <w:pPr>
        <w:pStyle w:val="Paragraphedeliste"/>
        <w:numPr>
          <w:ilvl w:val="0"/>
          <w:numId w:val="6"/>
        </w:numPr>
        <w:ind w:left="0" w:firstLine="360"/>
      </w:pPr>
      <w:r>
        <w:t>P</w:t>
      </w:r>
      <w:r w:rsidRPr="00CC4A51">
        <w:t>rendre en compte, s’agissant de ses outils, produits, applications ou services, les principes de</w:t>
      </w:r>
      <w:r w:rsidRPr="00CC4A51">
        <w:rPr>
          <w:b/>
          <w:bCs/>
        </w:rPr>
        <w:t> protection des données dès la conception</w:t>
      </w:r>
      <w:r w:rsidRPr="00CC4A51">
        <w:t> et de</w:t>
      </w:r>
      <w:r w:rsidRPr="00CC4A51">
        <w:rPr>
          <w:b/>
          <w:bCs/>
        </w:rPr>
        <w:t> protection des données par défaut</w:t>
      </w:r>
      <w:r w:rsidR="00F50732">
        <w:rPr>
          <w:b/>
          <w:bCs/>
        </w:rPr>
        <w:t>.</w:t>
      </w:r>
    </w:p>
    <w:p w14:paraId="19596FE4" w14:textId="77777777" w:rsidR="00F50732" w:rsidRPr="00CC4A51" w:rsidRDefault="00F50732" w:rsidP="00F50732">
      <w:pPr>
        <w:pStyle w:val="Paragraphedeliste"/>
        <w:ind w:left="360"/>
      </w:pPr>
    </w:p>
    <w:p w14:paraId="5F957829" w14:textId="310CF86C" w:rsidR="00984C1E" w:rsidRDefault="00A66BCE" w:rsidP="00984C1E">
      <w:pPr>
        <w:pStyle w:val="Paragraphedeliste"/>
        <w:numPr>
          <w:ilvl w:val="0"/>
          <w:numId w:val="6"/>
        </w:numPr>
      </w:pPr>
      <w:r w:rsidRPr="00A66BCE">
        <w:rPr>
          <w:b/>
        </w:rPr>
        <w:t>Sous-traitance de rang(s) ultérieur(s)</w:t>
      </w:r>
      <w:r>
        <w:t> :</w:t>
      </w:r>
    </w:p>
    <w:p w14:paraId="6C27A159" w14:textId="0F3E2EC8" w:rsidR="007646D7" w:rsidRPr="0054044F" w:rsidRDefault="007646D7" w:rsidP="007646D7">
      <w:pPr>
        <w:ind w:left="720"/>
        <w:rPr>
          <w:b/>
          <w:i/>
        </w:rPr>
      </w:pPr>
      <w:r w:rsidRPr="0054044F">
        <w:rPr>
          <w:b/>
          <w:i/>
        </w:rPr>
        <w:t xml:space="preserve">a) Principes généraux </w:t>
      </w:r>
    </w:p>
    <w:p w14:paraId="3A42786F" w14:textId="77777777" w:rsidR="0054044F" w:rsidRDefault="002D6217" w:rsidP="0021599E">
      <w:r>
        <w:t xml:space="preserve">Le sous-traitant peut faire appel à un autre sous-traitant (ci-après, « le sous-traitant ultérieur ») pour mener des activités de traitement spécifiques. </w:t>
      </w:r>
    </w:p>
    <w:p w14:paraId="3CACF9F2" w14:textId="77777777" w:rsidR="0054044F" w:rsidRPr="00F8626E" w:rsidRDefault="002D6217" w:rsidP="002D6217">
      <w:r w:rsidRPr="00F8626E">
        <w:t>À la date de signature du contrat, le sous-traitant déclare qu’il fait d’ores et déjà appel au(x) sous-traitant(s) de rang ultérieur suivant</w:t>
      </w:r>
      <w:r w:rsidR="0054044F" w:rsidRPr="00F8626E">
        <w:t xml:space="preserve"> : </w:t>
      </w:r>
    </w:p>
    <w:p w14:paraId="2190E368" w14:textId="171A4756" w:rsidR="0054044F" w:rsidRDefault="0090677B" w:rsidP="0054044F">
      <w:r>
        <w:rPr>
          <w:highlight w:val="yellow"/>
        </w:rPr>
        <w:t>[</w:t>
      </w:r>
      <w:commentRangeStart w:id="5"/>
      <w:r>
        <w:rPr>
          <w:highlight w:val="yellow"/>
        </w:rPr>
        <w:t>à</w:t>
      </w:r>
      <w:r w:rsidR="002D6217" w:rsidRPr="0054044F">
        <w:rPr>
          <w:highlight w:val="yellow"/>
        </w:rPr>
        <w:t xml:space="preserve"> compléter le cas échéant</w:t>
      </w:r>
      <w:commentRangeEnd w:id="5"/>
      <w:r>
        <w:rPr>
          <w:rStyle w:val="Marquedecommentaire"/>
        </w:rPr>
        <w:commentReference w:id="5"/>
      </w:r>
      <w:r>
        <w:rPr>
          <w:highlight w:val="yellow"/>
        </w:rPr>
        <w:t>]</w:t>
      </w:r>
      <w:r w:rsidR="0054044F" w:rsidRPr="0054044F">
        <w:rPr>
          <w:highlight w:val="yellow"/>
        </w:rPr>
        <w:t xml:space="preserve"> </w:t>
      </w:r>
    </w:p>
    <w:p w14:paraId="1E544D6C" w14:textId="77777777" w:rsidR="0051085C" w:rsidRDefault="0051085C" w:rsidP="0051085C"/>
    <w:p w14:paraId="211D8820" w14:textId="31D5CB76" w:rsidR="002D6217" w:rsidRDefault="0054044F" w:rsidP="0051085C">
      <w:pPr>
        <w:ind w:firstLine="708"/>
      </w:pPr>
      <w:r>
        <w:lastRenderedPageBreak/>
        <w:t>Pour</w:t>
      </w:r>
      <w:r w:rsidR="002D6217">
        <w:t xml:space="preserve"> tout changement envisagé concernant l’ajout ou le remplacement d’autres sous-traitants, le sous-traitant informera préalablement et par écrit le responsable de traitement</w:t>
      </w:r>
      <w:r w:rsidR="00794111">
        <w:t xml:space="preserve"> </w:t>
      </w:r>
      <w:commentRangeStart w:id="6"/>
      <w:r w:rsidR="00794111" w:rsidRPr="00794111">
        <w:rPr>
          <w:highlight w:val="yellow"/>
        </w:rPr>
        <w:t>contact : […]</w:t>
      </w:r>
      <w:commentRangeEnd w:id="6"/>
      <w:r w:rsidR="00794111">
        <w:rPr>
          <w:rStyle w:val="Marquedecommentaire"/>
        </w:rPr>
        <w:commentReference w:id="6"/>
      </w:r>
      <w:r w:rsidR="002D6217">
        <w:t xml:space="preserve">, en indiquant clairement les éléments listés précédemment (activités, </w:t>
      </w:r>
      <w:r w:rsidR="0021599E">
        <w:t xml:space="preserve">identité, coordonnées, date). </w:t>
      </w:r>
      <w:r w:rsidR="002D6217">
        <w:t xml:space="preserve">Le responsable de traitement dispose d’un délai </w:t>
      </w:r>
      <w:r w:rsidR="002D6217" w:rsidRPr="005D1114">
        <w:t>mini</w:t>
      </w:r>
      <w:r w:rsidR="00C36952" w:rsidRPr="005D1114">
        <w:t>m</w:t>
      </w:r>
      <w:r w:rsidR="002D6217" w:rsidRPr="005D1114">
        <w:t xml:space="preserve">um de </w:t>
      </w:r>
      <w:r w:rsidR="00F902C9" w:rsidRPr="005D1114">
        <w:t>20 jours</w:t>
      </w:r>
      <w:r w:rsidR="002D6217" w:rsidRPr="005D1114">
        <w:t xml:space="preserve"> à compter</w:t>
      </w:r>
      <w:r w:rsidR="002D6217">
        <w:t xml:space="preserve"> de la date de réception de cette information pour présenter ses objections. Cette sous-traitance ne peut être effectuée que si le responsable de traitement n'a pas émis d'objection pendant le délai convenu.</w:t>
      </w:r>
    </w:p>
    <w:p w14:paraId="04FBE47B" w14:textId="1179DBB2" w:rsidR="002D6217" w:rsidRDefault="002D6217" w:rsidP="0021599E">
      <w:pPr>
        <w:ind w:firstLine="708"/>
      </w:pPr>
      <w:r>
        <w:t>Le sous-traitant ultérieur est tenu de respecter les obligations des présentes clauses pour le compte et selon les instructions du responsable de traitement.</w:t>
      </w:r>
      <w:r w:rsidR="0021599E">
        <w:t xml:space="preserve"> En conséquence,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et de la loi informatique et liberté</w:t>
      </w:r>
      <w:r w:rsidR="00473C43">
        <w:t>s</w:t>
      </w:r>
      <w:r w:rsidR="0021599E">
        <w:t xml:space="preserve">. Pour ce faire, le sous-traitant prendra toutes les mesures nécessaires, notamment en répercutant toutes les exigences prévues aux présentes clauses qu’il conclura avec le sous-traitant ultérieur. </w:t>
      </w:r>
      <w:r w:rsidR="0021599E" w:rsidRPr="0021599E">
        <w:t>Si le sous-traitant ultérieur ne remplit pas ses obligations en matière de protection des données, le sous-traitant initial demeure pleinement responsable devant le responsable de traitement de l’exécution par l’autre s</w:t>
      </w:r>
      <w:r w:rsidR="00F50732">
        <w:t>ous-traitant de ses obligations.</w:t>
      </w:r>
    </w:p>
    <w:p w14:paraId="0AEE010D" w14:textId="77777777" w:rsidR="0054044F" w:rsidRDefault="0054044F" w:rsidP="0021599E">
      <w:pPr>
        <w:ind w:firstLine="708"/>
      </w:pPr>
    </w:p>
    <w:p w14:paraId="42278503" w14:textId="77777777" w:rsidR="007646D7" w:rsidRPr="00794111" w:rsidRDefault="007646D7" w:rsidP="007646D7">
      <w:pPr>
        <w:ind w:left="720"/>
        <w:rPr>
          <w:b/>
          <w:i/>
          <w:highlight w:val="yellow"/>
        </w:rPr>
      </w:pPr>
      <w:r w:rsidRPr="00794111">
        <w:rPr>
          <w:b/>
          <w:i/>
          <w:highlight w:val="yellow"/>
        </w:rPr>
        <w:t xml:space="preserve">b) Prestation d’hébergement de données de santé </w:t>
      </w:r>
    </w:p>
    <w:p w14:paraId="24562E37" w14:textId="77777777" w:rsidR="00794111" w:rsidRPr="00794111" w:rsidRDefault="00794111" w:rsidP="00794111">
      <w:pPr>
        <w:rPr>
          <w:highlight w:val="yellow"/>
        </w:rPr>
      </w:pPr>
      <w:r w:rsidRPr="00794111">
        <w:rPr>
          <w:highlight w:val="yellow"/>
        </w:rPr>
        <w:t xml:space="preserve">En cas d’hébergement « en Saas » de données de santé, et sans préjudice des dispositions ci-dessus, le sous-traitant garantit expressément que son prestataire d’hébergement, qualifié de sous-traitant ultérieur, présente les garanties cumulatives suivantes : </w:t>
      </w:r>
    </w:p>
    <w:p w14:paraId="1937BBFD" w14:textId="77777777" w:rsidR="00794111" w:rsidRPr="00794111" w:rsidRDefault="00794111" w:rsidP="00794111">
      <w:pPr>
        <w:rPr>
          <w:highlight w:val="yellow"/>
        </w:rPr>
      </w:pPr>
      <w:r w:rsidRPr="00794111">
        <w:rPr>
          <w:highlight w:val="yellow"/>
        </w:rPr>
        <w:t>•</w:t>
      </w:r>
      <w:r w:rsidRPr="00794111">
        <w:rPr>
          <w:highlight w:val="yellow"/>
        </w:rPr>
        <w:tab/>
        <w:t xml:space="preserve">serveurs du prestataire d’hébergement ultérieur localisés en France ou au sein de l’UE ; </w:t>
      </w:r>
    </w:p>
    <w:p w14:paraId="0A33A1BE" w14:textId="77777777" w:rsidR="00794111" w:rsidRPr="00794111" w:rsidRDefault="00794111" w:rsidP="00794111">
      <w:pPr>
        <w:rPr>
          <w:highlight w:val="yellow"/>
        </w:rPr>
      </w:pPr>
      <w:r w:rsidRPr="00794111">
        <w:rPr>
          <w:highlight w:val="yellow"/>
        </w:rPr>
        <w:t>•</w:t>
      </w:r>
      <w:r w:rsidRPr="00794111">
        <w:rPr>
          <w:highlight w:val="yellow"/>
        </w:rPr>
        <w:tab/>
        <w:t xml:space="preserve">prestataire d’hébergement disposant de la certification HDS (si le contrat prévoit l’hébergement de données de santé) ; </w:t>
      </w:r>
    </w:p>
    <w:p w14:paraId="79D0BEC7" w14:textId="77777777" w:rsidR="00794111" w:rsidRPr="00794111" w:rsidRDefault="00794111" w:rsidP="00794111">
      <w:pPr>
        <w:rPr>
          <w:highlight w:val="yellow"/>
        </w:rPr>
      </w:pPr>
      <w:r w:rsidRPr="00794111">
        <w:rPr>
          <w:highlight w:val="yellow"/>
        </w:rPr>
        <w:t>•</w:t>
      </w:r>
      <w:r w:rsidRPr="00794111">
        <w:rPr>
          <w:highlight w:val="yellow"/>
        </w:rPr>
        <w:tab/>
        <w:t xml:space="preserve">prestataire d’hébergement conforme au référentiel </w:t>
      </w:r>
      <w:proofErr w:type="spellStart"/>
      <w:r w:rsidRPr="00794111">
        <w:rPr>
          <w:highlight w:val="yellow"/>
        </w:rPr>
        <w:t>SecNumCloud</w:t>
      </w:r>
      <w:proofErr w:type="spellEnd"/>
      <w:r w:rsidRPr="00794111">
        <w:rPr>
          <w:highlight w:val="yellow"/>
        </w:rPr>
        <w:t xml:space="preserve"> publié par l’ANSSI ; </w:t>
      </w:r>
    </w:p>
    <w:p w14:paraId="5833C071" w14:textId="77777777" w:rsidR="00794111" w:rsidRPr="00794111" w:rsidRDefault="00794111" w:rsidP="00794111">
      <w:pPr>
        <w:rPr>
          <w:highlight w:val="yellow"/>
        </w:rPr>
      </w:pPr>
      <w:r w:rsidRPr="00794111">
        <w:rPr>
          <w:highlight w:val="yellow"/>
        </w:rPr>
        <w:t>•</w:t>
      </w:r>
      <w:r w:rsidRPr="00794111">
        <w:rPr>
          <w:highlight w:val="yellow"/>
        </w:rPr>
        <w:tab/>
        <w:t xml:space="preserve">prestataire d’hébergement garantissant sans réserve son immunité contre toute réglementation ou décision extra-européenne sur le transfert des données (garantie écrite, qui pourra être communiquée au responsable de traitement à première demande) ; </w:t>
      </w:r>
    </w:p>
    <w:p w14:paraId="546A9B79" w14:textId="77777777" w:rsidR="00794111" w:rsidRPr="00794111" w:rsidRDefault="00794111" w:rsidP="00794111">
      <w:pPr>
        <w:rPr>
          <w:highlight w:val="yellow"/>
        </w:rPr>
      </w:pPr>
      <w:r w:rsidRPr="00794111">
        <w:rPr>
          <w:highlight w:val="yellow"/>
        </w:rPr>
        <w:t>•</w:t>
      </w:r>
      <w:r w:rsidRPr="00794111">
        <w:rPr>
          <w:highlight w:val="yellow"/>
        </w:rPr>
        <w:tab/>
        <w:t xml:space="preserve">prestataire d’hébergement soumis aux lois et réglementations applicables au sein de l’UE en matière de protection des données personnelles et garantissant à tout moment le respect des dispositions du RGPD ; </w:t>
      </w:r>
    </w:p>
    <w:p w14:paraId="18DB446E" w14:textId="77777777" w:rsidR="00794111" w:rsidRPr="00794111" w:rsidRDefault="00794111" w:rsidP="00794111">
      <w:pPr>
        <w:rPr>
          <w:highlight w:val="yellow"/>
        </w:rPr>
      </w:pPr>
      <w:r w:rsidRPr="00794111">
        <w:rPr>
          <w:highlight w:val="yellow"/>
        </w:rPr>
        <w:t>•</w:t>
      </w:r>
      <w:r w:rsidRPr="00794111">
        <w:rPr>
          <w:highlight w:val="yellow"/>
        </w:rPr>
        <w:tab/>
        <w:t>prestataire d’hébergement fournissant des garanties de réversibilité des services permettant au responsable de traitement de récupérer ou faire récupérer l’ensemble des données sans atteinte à la continuité de son activité.</w:t>
      </w:r>
    </w:p>
    <w:p w14:paraId="2EDCF0C6" w14:textId="77777777" w:rsidR="00794111" w:rsidRPr="00794111" w:rsidRDefault="00794111" w:rsidP="00794111">
      <w:pPr>
        <w:rPr>
          <w:highlight w:val="yellow"/>
        </w:rPr>
      </w:pPr>
    </w:p>
    <w:p w14:paraId="6D0DBA56" w14:textId="77777777" w:rsidR="00794111" w:rsidRPr="00794111" w:rsidRDefault="00794111" w:rsidP="00794111">
      <w:pPr>
        <w:rPr>
          <w:highlight w:val="yellow"/>
        </w:rPr>
      </w:pPr>
      <w:r w:rsidRPr="00794111">
        <w:rPr>
          <w:highlight w:val="yellow"/>
        </w:rPr>
        <w:lastRenderedPageBreak/>
        <w:t xml:space="preserve">A défaut pour le sous-traitant de pouvoir s’engager sur les principes ci-dessus au jour de la signature des présentes, celui-ci s’engage (à défaut, le marché pourra être résilié sans frais ni indemnité à première demande du responsable de traitement) : </w:t>
      </w:r>
    </w:p>
    <w:p w14:paraId="42B27059" w14:textId="77777777" w:rsidR="00794111" w:rsidRPr="00794111" w:rsidRDefault="00794111" w:rsidP="00794111">
      <w:pPr>
        <w:rPr>
          <w:highlight w:val="yellow"/>
        </w:rPr>
      </w:pPr>
      <w:r w:rsidRPr="00794111">
        <w:rPr>
          <w:highlight w:val="yellow"/>
        </w:rPr>
        <w:t>•</w:t>
      </w:r>
      <w:r w:rsidRPr="00794111">
        <w:rPr>
          <w:highlight w:val="yellow"/>
        </w:rPr>
        <w:tab/>
        <w:t xml:space="preserve">à migrer les services d’hébergement sans délai de 24 mois maximum vers une offre présentant l’intégralité des garanties exigées ci-dessus ; </w:t>
      </w:r>
    </w:p>
    <w:p w14:paraId="528CF0F4" w14:textId="77777777" w:rsidR="00794111" w:rsidRPr="00794111" w:rsidRDefault="00794111" w:rsidP="00794111">
      <w:pPr>
        <w:rPr>
          <w:highlight w:val="yellow"/>
        </w:rPr>
      </w:pPr>
      <w:r w:rsidRPr="00794111">
        <w:rPr>
          <w:highlight w:val="yellow"/>
        </w:rPr>
        <w:t>•</w:t>
      </w:r>
      <w:r w:rsidRPr="00794111">
        <w:rPr>
          <w:highlight w:val="yellow"/>
        </w:rPr>
        <w:tab/>
        <w:t>à mettre en place sans délai avec son sous-traitant ultérieur en charge de l’hébergement « en Saas » des données de santé les garanties appropriées exigées par le chapitre V du RGPD (par exemple, intégrer dans son contrat conclu avec son prestataire d’hébergement des clauses contractuelles types publiées par la Commission européenne dûment accompagnée des mesures supplémentaires permettant de garantir un niveau de protection équivalent à celui garanti au sein de l’UE). Le sous-traitant garantit à ce titre que la législation du pays tiers à laquelle son sous-traitant ultérieur est soumis n'empiétera pas sur ces mesures supplémentaires de manière à les priver d'effectivité, ni ne risque de compromettre le niveau de protection adéquat que les clauses contractuelles types et les mesures supplémentaires sont précisément censées garantir ;</w:t>
      </w:r>
    </w:p>
    <w:p w14:paraId="0404ACB1" w14:textId="77777777" w:rsidR="00794111" w:rsidRDefault="00794111" w:rsidP="00794111">
      <w:r w:rsidRPr="00794111">
        <w:rPr>
          <w:highlight w:val="yellow"/>
        </w:rPr>
        <w:t>•</w:t>
      </w:r>
      <w:r w:rsidRPr="00794111">
        <w:rPr>
          <w:highlight w:val="yellow"/>
        </w:rPr>
        <w:tab/>
        <w:t>à avertir sans délai le responsable de traitement en cas de demande d’accès ou de risque d’accès par des autorités publiques étrangères aux données hébergées, prendre toutes les actions légales et recours pour les contester et remettre au responsable de traitement toute documentation en ce sens.</w:t>
      </w:r>
    </w:p>
    <w:p w14:paraId="463160D4" w14:textId="77777777" w:rsidR="00794111" w:rsidRDefault="00794111" w:rsidP="007646D7"/>
    <w:p w14:paraId="3F38C30A" w14:textId="1B23C460" w:rsidR="007646D7" w:rsidRDefault="007646D7" w:rsidP="007646D7">
      <w:r>
        <w:t>En tout état de cause pour les projet</w:t>
      </w:r>
      <w:r w:rsidR="0051085C">
        <w:t>s qui le permettent seules des d</w:t>
      </w:r>
      <w:r>
        <w:t xml:space="preserve">onnées </w:t>
      </w:r>
      <w:proofErr w:type="spellStart"/>
      <w:r>
        <w:t>pseudonymisées</w:t>
      </w:r>
      <w:proofErr w:type="spellEnd"/>
      <w:r>
        <w:t xml:space="preserve"> et protégées par un code pourront être transférées, avec conservation de la table de correspondance exclusivement au sein </w:t>
      </w:r>
      <w:r w:rsidR="0051085C">
        <w:t>du CHU DIJON BOURGOGNE</w:t>
      </w:r>
      <w:r>
        <w:t>, s</w:t>
      </w:r>
      <w:r w:rsidR="0051085C">
        <w:t>ans aucune possibilité pour le sous-traitant ou ses s</w:t>
      </w:r>
      <w:r>
        <w:t>ous-trai</w:t>
      </w:r>
      <w:r w:rsidR="0051085C">
        <w:t>tants ultérieurs d’y avoir accès. Le sous-traitant ou ses sous-traitants u</w:t>
      </w:r>
      <w:r>
        <w:t xml:space="preserve">ltérieurs ne sont pas autorisés à procéder à des rapprochements ou croisements avec d’autres bases de données pour tenter de </w:t>
      </w:r>
      <w:proofErr w:type="spellStart"/>
      <w:r>
        <w:t>réidentifier</w:t>
      </w:r>
      <w:proofErr w:type="spellEnd"/>
      <w:r>
        <w:t xml:space="preserve"> tout ou partie des personnes concernées. </w:t>
      </w:r>
    </w:p>
    <w:p w14:paraId="4E7906A5" w14:textId="77777777" w:rsidR="00F50732" w:rsidRDefault="00F50732" w:rsidP="0021599E">
      <w:pPr>
        <w:ind w:firstLine="708"/>
      </w:pPr>
    </w:p>
    <w:p w14:paraId="573A3BE6" w14:textId="791481ED" w:rsidR="00984C1E" w:rsidRDefault="0021599E" w:rsidP="00984C1E">
      <w:pPr>
        <w:pStyle w:val="Paragraphedeliste"/>
        <w:numPr>
          <w:ilvl w:val="0"/>
          <w:numId w:val="6"/>
        </w:numPr>
      </w:pPr>
      <w:r w:rsidRPr="00E67F7D">
        <w:rPr>
          <w:b/>
          <w:u w:val="single"/>
        </w:rPr>
        <w:t>Notification des violations de données à caractère personnel</w:t>
      </w:r>
      <w:r w:rsidRPr="00BE2855">
        <w:t xml:space="preserve"> : </w:t>
      </w:r>
    </w:p>
    <w:p w14:paraId="7AA41802" w14:textId="12443F29" w:rsidR="0031253A" w:rsidRDefault="0021599E" w:rsidP="0031253A">
      <w:pPr>
        <w:ind w:firstLine="708"/>
      </w:pPr>
      <w:r>
        <w:t>Le sous-</w:t>
      </w:r>
      <w:r w:rsidRPr="00872232">
        <w:t xml:space="preserve">traitant notifie au responsable de traitement toute violation de données à caractère personnel </w:t>
      </w:r>
      <w:r w:rsidR="0031253A" w:rsidRPr="00872232">
        <w:t>par courrier électronique avec accusé de le</w:t>
      </w:r>
      <w:r w:rsidR="00872232" w:rsidRPr="00872232">
        <w:t xml:space="preserve">cture à l’adresse suivante : </w:t>
      </w:r>
      <w:hyperlink r:id="rId10" w:history="1">
        <w:r w:rsidR="00872232" w:rsidRPr="00872232">
          <w:rPr>
            <w:rStyle w:val="Lienhypertexte"/>
          </w:rPr>
          <w:t>dpo@ght21-52.fr</w:t>
        </w:r>
      </w:hyperlink>
      <w:r w:rsidR="00872232" w:rsidRPr="00872232">
        <w:t xml:space="preserve"> </w:t>
      </w:r>
      <w:r w:rsidRPr="00872232">
        <w:t>dans un délai maximum de 48 heures après en</w:t>
      </w:r>
      <w:r>
        <w:t xml:space="preserve"> avoir pris connaissance</w:t>
      </w:r>
      <w:r w:rsidR="0031253A">
        <w:t>, sous peine pour le sous-traitant de devoir justifier de ce retard auprès du responsable de traitement qui pourra en faire part à l’autorité de contrôle (CNIL).</w:t>
      </w:r>
      <w:r>
        <w:t xml:space="preserve"> Cette notification est accompagnée de toute documentation utile afin de permettre au responsable de traitement, si nécessaire, de notifier cette violation à l’autorité de contrôle compétente</w:t>
      </w:r>
      <w:r w:rsidR="0031253A">
        <w:t xml:space="preserve">. La notification contient au moins : </w:t>
      </w:r>
    </w:p>
    <w:p w14:paraId="0439FF03" w14:textId="63C42D0A" w:rsidR="0031253A" w:rsidRPr="0031253A" w:rsidRDefault="00F26CE7" w:rsidP="0031253A">
      <w:pPr>
        <w:pStyle w:val="Paragraphedeliste"/>
        <w:numPr>
          <w:ilvl w:val="0"/>
          <w:numId w:val="10"/>
        </w:numPr>
        <w:ind w:left="0" w:firstLine="426"/>
      </w:pPr>
      <w:r w:rsidRPr="0031253A">
        <w:lastRenderedPageBreak/>
        <w:t>La</w:t>
      </w:r>
      <w:r w:rsidR="0031253A" w:rsidRPr="0031253A">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3FF8DA5A" w14:textId="6889B537" w:rsidR="0031253A" w:rsidRPr="0031253A" w:rsidRDefault="00F26CE7" w:rsidP="0031253A">
      <w:pPr>
        <w:pStyle w:val="Paragraphedeliste"/>
        <w:numPr>
          <w:ilvl w:val="0"/>
          <w:numId w:val="10"/>
        </w:numPr>
        <w:ind w:left="0" w:firstLine="426"/>
      </w:pPr>
      <w:r w:rsidRPr="0031253A">
        <w:t>Le</w:t>
      </w:r>
      <w:r w:rsidR="0031253A" w:rsidRPr="0031253A">
        <w:t xml:space="preserve"> nom et les coordonnées du délégué à la protection des données ou d'un autre point de contact auprès duquel des informations supplémentaires peuvent être obtenues ;</w:t>
      </w:r>
    </w:p>
    <w:p w14:paraId="48DD7461" w14:textId="1259AC8E" w:rsidR="0031253A" w:rsidRPr="0031253A" w:rsidRDefault="00F26CE7" w:rsidP="0031253A">
      <w:pPr>
        <w:pStyle w:val="Paragraphedeliste"/>
        <w:numPr>
          <w:ilvl w:val="0"/>
          <w:numId w:val="10"/>
        </w:numPr>
        <w:ind w:left="0" w:firstLine="426"/>
      </w:pPr>
      <w:r w:rsidRPr="0031253A">
        <w:t>La</w:t>
      </w:r>
      <w:r w:rsidR="0031253A" w:rsidRPr="0031253A">
        <w:t xml:space="preserve"> description des conséquences probables de la violation de données à caractère personnel ;</w:t>
      </w:r>
    </w:p>
    <w:p w14:paraId="72C6843A" w14:textId="459E3EE6" w:rsidR="0031253A" w:rsidRPr="0031253A" w:rsidRDefault="00F26CE7" w:rsidP="0031253A">
      <w:pPr>
        <w:pStyle w:val="Paragraphedeliste"/>
        <w:numPr>
          <w:ilvl w:val="0"/>
          <w:numId w:val="10"/>
        </w:numPr>
        <w:ind w:left="0" w:firstLine="426"/>
      </w:pPr>
      <w:r w:rsidRPr="0031253A">
        <w:t>La</w:t>
      </w:r>
      <w:r w:rsidR="0031253A" w:rsidRPr="0031253A">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44CBA0DA" w14:textId="77777777" w:rsidR="0021599E" w:rsidRDefault="0021599E" w:rsidP="0031253A">
      <w:pPr>
        <w:ind w:firstLine="708"/>
      </w:pPr>
    </w:p>
    <w:p w14:paraId="52E6A7BB" w14:textId="77777777" w:rsidR="000069BE" w:rsidRPr="0090677B" w:rsidRDefault="000069BE" w:rsidP="0031253A">
      <w:pPr>
        <w:ind w:firstLine="708"/>
      </w:pPr>
      <w:r w:rsidRPr="0090677B">
        <w:t>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75BD9748" w14:textId="77777777" w:rsidR="00BE2855" w:rsidRPr="0090677B" w:rsidRDefault="00BE2855" w:rsidP="0031253A">
      <w:pPr>
        <w:ind w:firstLine="708"/>
      </w:pPr>
    </w:p>
    <w:p w14:paraId="0561AA02" w14:textId="77777777" w:rsidR="00BE2855" w:rsidRPr="0090677B" w:rsidRDefault="00BE2855" w:rsidP="0031253A">
      <w:pPr>
        <w:ind w:firstLine="708"/>
      </w:pPr>
      <w:r w:rsidRPr="0090677B">
        <w:t xml:space="preserve">Après accord du responsable de traitement, le sous-traitant notifie à l’autorité de contrôle compétente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 </w:t>
      </w:r>
    </w:p>
    <w:p w14:paraId="0EC3C427" w14:textId="77777777" w:rsidR="00BE2855" w:rsidRDefault="00BE2855" w:rsidP="0031253A">
      <w:pPr>
        <w:ind w:firstLine="708"/>
      </w:pPr>
      <w:r w:rsidRPr="0090677B">
        <w:t xml:space="preserve">Si le délai de </w:t>
      </w:r>
      <w:r w:rsidRPr="0090677B">
        <w:rPr>
          <w:b/>
        </w:rPr>
        <w:t>72 heures est dépassé</w:t>
      </w:r>
      <w:r w:rsidRPr="0090677B">
        <w:t>, le sous-traitant devra expliquer les motifs du retard à l’autorité de contrôle compétente (CNIL).</w:t>
      </w:r>
    </w:p>
    <w:p w14:paraId="0748D334" w14:textId="77777777" w:rsidR="000069BE" w:rsidRDefault="000069BE" w:rsidP="000069BE"/>
    <w:p w14:paraId="6654CBE3" w14:textId="0C2225AF" w:rsidR="000069BE" w:rsidRPr="00984C1E" w:rsidRDefault="000069BE" w:rsidP="00984C1E">
      <w:pPr>
        <w:pStyle w:val="Paragraphedeliste"/>
        <w:numPr>
          <w:ilvl w:val="0"/>
          <w:numId w:val="6"/>
        </w:numPr>
        <w:rPr>
          <w:b/>
          <w:u w:val="single"/>
        </w:rPr>
      </w:pPr>
      <w:r w:rsidRPr="000069BE">
        <w:rPr>
          <w:b/>
          <w:u w:val="single"/>
        </w:rPr>
        <w:t>Aide du sous-traitant dans le cadre du respect par le responsable de traitement de ses obligations</w:t>
      </w:r>
    </w:p>
    <w:p w14:paraId="5E1EA6BE" w14:textId="73B9CFE2" w:rsidR="000069BE" w:rsidRDefault="000069BE" w:rsidP="000069BE">
      <w:pPr>
        <w:ind w:firstLine="708"/>
      </w:pPr>
      <w:r>
        <w:t>Le sous-traitant aide le responsable de traitement pour la réalisation d’analyses d’impact relative à la protection des données</w:t>
      </w:r>
      <w:r w:rsidR="007646D7">
        <w:t xml:space="preserve"> </w:t>
      </w:r>
      <w:r w:rsidR="007646D7" w:rsidRPr="004C68C8">
        <w:rPr>
          <w:rFonts w:cstheme="minorHAnsi"/>
        </w:rPr>
        <w:t>en fournissant tous les éléments relatifs à la sécurité et aux conditions d’utilisation des Données tr</w:t>
      </w:r>
      <w:r w:rsidR="007646D7">
        <w:rPr>
          <w:rFonts w:cstheme="minorHAnsi"/>
        </w:rPr>
        <w:t>aités pour le compte du responsable de traitement</w:t>
      </w:r>
      <w:r>
        <w:t>.</w:t>
      </w:r>
    </w:p>
    <w:p w14:paraId="58EFBAB6" w14:textId="4F40327D" w:rsidR="000069BE" w:rsidRDefault="000069BE" w:rsidP="000069BE">
      <w:pPr>
        <w:ind w:firstLine="708"/>
        <w:rPr>
          <w:rFonts w:cstheme="minorHAnsi"/>
        </w:rPr>
      </w:pPr>
      <w:r>
        <w:t>Le sous-traitant aide le responsable de traitement pour la réalisation de la consultation préa</w:t>
      </w:r>
      <w:r w:rsidR="007646D7">
        <w:t xml:space="preserve">lable de l’autorité de contrôle </w:t>
      </w:r>
      <w:r w:rsidR="007646D7" w:rsidRPr="004C68C8">
        <w:rPr>
          <w:rFonts w:cstheme="minorHAnsi"/>
        </w:rPr>
        <w:t>en fournissant tous les éléments relatifs à la sécurité et aux conditions d’utilisation des Données tr</w:t>
      </w:r>
      <w:r w:rsidR="007646D7">
        <w:rPr>
          <w:rFonts w:cstheme="minorHAnsi"/>
        </w:rPr>
        <w:t xml:space="preserve">aités pour le compte du responsable de traitement. </w:t>
      </w:r>
    </w:p>
    <w:p w14:paraId="6CDDBC1A" w14:textId="77777777" w:rsidR="0090677B" w:rsidRDefault="0090677B" w:rsidP="000069BE">
      <w:pPr>
        <w:ind w:firstLine="708"/>
      </w:pPr>
    </w:p>
    <w:p w14:paraId="2C871E06" w14:textId="44DB8E29" w:rsidR="004345F1" w:rsidRPr="00984C1E" w:rsidRDefault="004345F1" w:rsidP="004345F1">
      <w:pPr>
        <w:pStyle w:val="Paragraphedeliste"/>
        <w:numPr>
          <w:ilvl w:val="0"/>
          <w:numId w:val="6"/>
        </w:numPr>
        <w:rPr>
          <w:b/>
          <w:u w:val="single"/>
        </w:rPr>
      </w:pPr>
      <w:r w:rsidRPr="00687EC7">
        <w:rPr>
          <w:b/>
          <w:u w:val="single"/>
        </w:rPr>
        <w:t>Mesures de sécurité</w:t>
      </w:r>
    </w:p>
    <w:p w14:paraId="56978C2B" w14:textId="77777777" w:rsidR="004345F1" w:rsidRDefault="004345F1" w:rsidP="004345F1">
      <w:pPr>
        <w:ind w:firstLine="360"/>
      </w:pPr>
      <w:r>
        <w:lastRenderedPageBreak/>
        <w:t>Le sous-traitant s’engage à mettre en œuvre les mesures de sécurité suivantes :</w:t>
      </w:r>
    </w:p>
    <w:p w14:paraId="0EE92C1C" w14:textId="59095F7D" w:rsidR="00E965DC" w:rsidRPr="00F26CE7" w:rsidRDefault="00E965DC" w:rsidP="00E965DC">
      <w:pPr>
        <w:rPr>
          <w:highlight w:val="yellow"/>
        </w:rPr>
      </w:pPr>
      <w:commentRangeStart w:id="7"/>
      <w:r w:rsidRPr="00F26CE7">
        <w:rPr>
          <w:iCs/>
          <w:highlight w:val="yellow"/>
        </w:rPr>
        <w:t>Décrire les mesures techniques et organisationnelles garantissant un niveau de sécurité adapté au risque, y compris, entre autres</w:t>
      </w:r>
      <w:r w:rsidR="00F26CE7" w:rsidRPr="00F26CE7">
        <w:rPr>
          <w:iCs/>
          <w:highlight w:val="yellow"/>
        </w:rPr>
        <w:t xml:space="preserve"> : </w:t>
      </w:r>
    </w:p>
    <w:p w14:paraId="224DE386" w14:textId="1BFA7CB0" w:rsidR="004345F1" w:rsidRPr="00F26CE7" w:rsidRDefault="00F26CE7" w:rsidP="004345F1">
      <w:pPr>
        <w:numPr>
          <w:ilvl w:val="0"/>
          <w:numId w:val="11"/>
        </w:numPr>
        <w:rPr>
          <w:highlight w:val="yellow"/>
        </w:rPr>
      </w:pPr>
      <w:r>
        <w:rPr>
          <w:iCs/>
          <w:highlight w:val="yellow"/>
        </w:rPr>
        <w:t>L</w:t>
      </w:r>
      <w:r w:rsidR="004345F1" w:rsidRPr="00F26CE7">
        <w:rPr>
          <w:iCs/>
          <w:highlight w:val="yellow"/>
        </w:rPr>
        <w:t xml:space="preserve">a </w:t>
      </w:r>
      <w:proofErr w:type="spellStart"/>
      <w:r w:rsidR="004345F1" w:rsidRPr="00F26CE7">
        <w:rPr>
          <w:iCs/>
          <w:highlight w:val="yellow"/>
        </w:rPr>
        <w:t>pseudonymisation</w:t>
      </w:r>
      <w:proofErr w:type="spellEnd"/>
      <w:r w:rsidR="004345F1" w:rsidRPr="00F26CE7">
        <w:rPr>
          <w:iCs/>
          <w:highlight w:val="yellow"/>
        </w:rPr>
        <w:t xml:space="preserve"> et le chiffrement des données à caractère personnel</w:t>
      </w:r>
      <w:r w:rsidR="008D5A49" w:rsidRPr="00F26CE7">
        <w:rPr>
          <w:iCs/>
          <w:highlight w:val="yellow"/>
        </w:rPr>
        <w:t> ;</w:t>
      </w:r>
    </w:p>
    <w:p w14:paraId="211E4BBF" w14:textId="60C8856F" w:rsidR="004345F1" w:rsidRPr="00F26CE7" w:rsidRDefault="00F26CE7" w:rsidP="004345F1">
      <w:pPr>
        <w:numPr>
          <w:ilvl w:val="0"/>
          <w:numId w:val="11"/>
        </w:numPr>
        <w:rPr>
          <w:highlight w:val="yellow"/>
        </w:rPr>
      </w:pPr>
      <w:r w:rsidRPr="00F26CE7">
        <w:rPr>
          <w:iCs/>
          <w:highlight w:val="yellow"/>
        </w:rPr>
        <w:t>Les</w:t>
      </w:r>
      <w:r w:rsidR="004345F1" w:rsidRPr="00F26CE7">
        <w:rPr>
          <w:iCs/>
          <w:highlight w:val="yellow"/>
        </w:rPr>
        <w:t xml:space="preserve"> moyens permettant de garantir la confidentialité, l'intégrité, la disponibilité et la résilience constantes des systèmes et des services de traitement</w:t>
      </w:r>
      <w:r w:rsidR="008D5A49" w:rsidRPr="00F26CE7">
        <w:rPr>
          <w:iCs/>
          <w:highlight w:val="yellow"/>
        </w:rPr>
        <w:t xml:space="preserve"> </w:t>
      </w:r>
      <w:r w:rsidR="004345F1" w:rsidRPr="00F26CE7">
        <w:rPr>
          <w:iCs/>
          <w:highlight w:val="yellow"/>
        </w:rPr>
        <w:t>;</w:t>
      </w:r>
    </w:p>
    <w:p w14:paraId="224C9D7A" w14:textId="3A55CC89" w:rsidR="004345F1" w:rsidRPr="00F26CE7" w:rsidRDefault="00F26CE7" w:rsidP="004345F1">
      <w:pPr>
        <w:numPr>
          <w:ilvl w:val="0"/>
          <w:numId w:val="11"/>
        </w:numPr>
        <w:rPr>
          <w:highlight w:val="yellow"/>
        </w:rPr>
      </w:pPr>
      <w:r w:rsidRPr="00F26CE7">
        <w:rPr>
          <w:iCs/>
          <w:highlight w:val="yellow"/>
        </w:rPr>
        <w:t>Les</w:t>
      </w:r>
      <w:r w:rsidR="004345F1" w:rsidRPr="00F26CE7">
        <w:rPr>
          <w:iCs/>
          <w:highlight w:val="yellow"/>
        </w:rPr>
        <w:t xml:space="preserve"> moyens permettant de rétablir la disponibilité des données à caractère personnel et l'accès à celles-ci dans des délais appropriés en cas d'incident physique ou technique</w:t>
      </w:r>
      <w:r w:rsidR="008D5A49" w:rsidRPr="00F26CE7">
        <w:rPr>
          <w:iCs/>
          <w:highlight w:val="yellow"/>
        </w:rPr>
        <w:t xml:space="preserve"> </w:t>
      </w:r>
      <w:r w:rsidR="004345F1" w:rsidRPr="00F26CE7">
        <w:rPr>
          <w:iCs/>
          <w:highlight w:val="yellow"/>
        </w:rPr>
        <w:t>;</w:t>
      </w:r>
    </w:p>
    <w:p w14:paraId="704228E9" w14:textId="02E1B59A" w:rsidR="004345F1" w:rsidRPr="00F26CE7" w:rsidRDefault="00F26CE7" w:rsidP="004345F1">
      <w:pPr>
        <w:numPr>
          <w:ilvl w:val="0"/>
          <w:numId w:val="11"/>
        </w:numPr>
        <w:rPr>
          <w:highlight w:val="yellow"/>
        </w:rPr>
      </w:pPr>
      <w:r w:rsidRPr="00F26CE7">
        <w:rPr>
          <w:iCs/>
          <w:highlight w:val="yellow"/>
        </w:rPr>
        <w:t>Une</w:t>
      </w:r>
      <w:r w:rsidR="004345F1" w:rsidRPr="00F26CE7">
        <w:rPr>
          <w:iCs/>
          <w:highlight w:val="yellow"/>
        </w:rPr>
        <w:t xml:space="preserve"> procédure visant à tester, à </w:t>
      </w:r>
      <w:r w:rsidR="00BD028C" w:rsidRPr="00F26CE7">
        <w:rPr>
          <w:iCs/>
          <w:highlight w:val="yellow"/>
        </w:rPr>
        <w:t xml:space="preserve">analyser et à </w:t>
      </w:r>
      <w:r w:rsidR="004345F1" w:rsidRPr="00F26CE7">
        <w:rPr>
          <w:iCs/>
          <w:highlight w:val="yellow"/>
        </w:rPr>
        <w:t>évaluer régulièrement l'efficacité des mesures techniques et organisationnelles pour as</w:t>
      </w:r>
      <w:r w:rsidR="008D5A49" w:rsidRPr="00F26CE7">
        <w:rPr>
          <w:iCs/>
          <w:highlight w:val="yellow"/>
        </w:rPr>
        <w:t>surer la sécurité du traitement ;</w:t>
      </w:r>
    </w:p>
    <w:p w14:paraId="00280C4F" w14:textId="77777777" w:rsidR="008D5A49" w:rsidRPr="00F26CE7" w:rsidRDefault="008D5A49" w:rsidP="008D5A49">
      <w:pPr>
        <w:numPr>
          <w:ilvl w:val="0"/>
          <w:numId w:val="11"/>
        </w:numPr>
        <w:rPr>
          <w:highlight w:val="yellow"/>
        </w:rPr>
      </w:pPr>
      <w:r w:rsidRPr="00F26CE7">
        <w:rPr>
          <w:highlight w:val="yellow"/>
        </w:rPr>
        <w:t xml:space="preserve">La sécurité physique et logique (informatique et réseaux de communication) ; </w:t>
      </w:r>
    </w:p>
    <w:p w14:paraId="1B6CD744" w14:textId="72D7960E" w:rsidR="008D5A49" w:rsidRPr="00F26CE7" w:rsidRDefault="008D5A49" w:rsidP="008D5A49">
      <w:pPr>
        <w:numPr>
          <w:ilvl w:val="0"/>
          <w:numId w:val="11"/>
        </w:numPr>
        <w:rPr>
          <w:highlight w:val="yellow"/>
        </w:rPr>
      </w:pPr>
      <w:r w:rsidRPr="00F26CE7">
        <w:rPr>
          <w:highlight w:val="yellow"/>
        </w:rPr>
        <w:t>La mise en place de mesures pour protéger l</w:t>
      </w:r>
      <w:r w:rsidR="00F26CE7">
        <w:rPr>
          <w:highlight w:val="yellow"/>
        </w:rPr>
        <w:t>es d</w:t>
      </w:r>
      <w:r w:rsidRPr="00F26CE7">
        <w:rPr>
          <w:highlight w:val="yellow"/>
        </w:rPr>
        <w:t xml:space="preserve">onnées contre une destruction fortuite ou illicite, une perte accidentelle, une altération, une divulgation ou un accès non autorisé, dont </w:t>
      </w:r>
      <w:proofErr w:type="gramStart"/>
      <w:r w:rsidRPr="00F26CE7">
        <w:rPr>
          <w:highlight w:val="yellow"/>
        </w:rPr>
        <w:t>le hacking</w:t>
      </w:r>
      <w:proofErr w:type="gramEnd"/>
      <w:r w:rsidRPr="00F26CE7">
        <w:rPr>
          <w:highlight w:val="yellow"/>
        </w:rPr>
        <w:t xml:space="preserve"> </w:t>
      </w:r>
      <w:r w:rsidR="00F26CE7">
        <w:rPr>
          <w:highlight w:val="yellow"/>
        </w:rPr>
        <w:t>ou la tentative de hacking des d</w:t>
      </w:r>
      <w:r w:rsidRPr="00F26CE7">
        <w:rPr>
          <w:highlight w:val="yellow"/>
        </w:rPr>
        <w:t xml:space="preserve">onnées ; </w:t>
      </w:r>
    </w:p>
    <w:p w14:paraId="398B17C2" w14:textId="6814ED76" w:rsidR="008D5A49" w:rsidRPr="00F26CE7" w:rsidRDefault="008D5A49" w:rsidP="008D5A49">
      <w:pPr>
        <w:numPr>
          <w:ilvl w:val="0"/>
          <w:numId w:val="11"/>
        </w:numPr>
        <w:rPr>
          <w:highlight w:val="yellow"/>
        </w:rPr>
      </w:pPr>
      <w:r w:rsidRPr="00F26CE7">
        <w:rPr>
          <w:highlight w:val="yellow"/>
        </w:rPr>
        <w:t>Des mécanismes de restrict</w:t>
      </w:r>
      <w:r w:rsidR="00F26CE7">
        <w:rPr>
          <w:highlight w:val="yellow"/>
        </w:rPr>
        <w:t>ion et de contrôle d’accès des d</w:t>
      </w:r>
      <w:r w:rsidRPr="00F26CE7">
        <w:rPr>
          <w:highlight w:val="yellow"/>
        </w:rPr>
        <w:t>onnées, permettant d’affecter aux ind</w:t>
      </w:r>
      <w:r w:rsidR="00F26CE7">
        <w:rPr>
          <w:highlight w:val="yellow"/>
        </w:rPr>
        <w:t>ividus, les droits d’accès aux d</w:t>
      </w:r>
      <w:r w:rsidRPr="00F26CE7">
        <w:rPr>
          <w:highlight w:val="yellow"/>
        </w:rPr>
        <w:t>onnées strictement nécessaires à leur mission ;</w:t>
      </w:r>
    </w:p>
    <w:p w14:paraId="281B3D5A" w14:textId="282E36FB" w:rsidR="008D5A49" w:rsidRPr="00F26CE7" w:rsidRDefault="008D5A49" w:rsidP="008D5A49">
      <w:pPr>
        <w:numPr>
          <w:ilvl w:val="0"/>
          <w:numId w:val="11"/>
        </w:numPr>
        <w:rPr>
          <w:highlight w:val="yellow"/>
        </w:rPr>
      </w:pPr>
      <w:r w:rsidRPr="00F26CE7">
        <w:rPr>
          <w:highlight w:val="yellow"/>
        </w:rPr>
        <w:t>La conservation d’une documentation appropriée sur</w:t>
      </w:r>
      <w:r w:rsidR="00F26CE7">
        <w:rPr>
          <w:highlight w:val="yellow"/>
        </w:rPr>
        <w:t xml:space="preserve"> les activités de t</w:t>
      </w:r>
      <w:r w:rsidR="00F26CE7" w:rsidRPr="00F26CE7">
        <w:rPr>
          <w:highlight w:val="yellow"/>
        </w:rPr>
        <w:t xml:space="preserve">raitements ; </w:t>
      </w:r>
    </w:p>
    <w:p w14:paraId="380D714C" w14:textId="07C52BC8" w:rsidR="008D5A49" w:rsidRPr="00F26CE7" w:rsidRDefault="00F26CE7" w:rsidP="008D5A49">
      <w:pPr>
        <w:numPr>
          <w:ilvl w:val="0"/>
          <w:numId w:val="11"/>
        </w:numPr>
        <w:rPr>
          <w:highlight w:val="yellow"/>
        </w:rPr>
      </w:pPr>
      <w:r w:rsidRPr="00F26CE7">
        <w:rPr>
          <w:highlight w:val="yellow"/>
        </w:rPr>
        <w:t>Détenir</w:t>
      </w:r>
      <w:r w:rsidR="008D5A49" w:rsidRPr="00F26CE7">
        <w:rPr>
          <w:highlight w:val="yellow"/>
        </w:rPr>
        <w:t xml:space="preserve"> les certifications nécessaires (notamment en terme</w:t>
      </w:r>
      <w:r>
        <w:rPr>
          <w:highlight w:val="yellow"/>
        </w:rPr>
        <w:t>s d’hébergement de d</w:t>
      </w:r>
      <w:r w:rsidR="008D5A49" w:rsidRPr="00F26CE7">
        <w:rPr>
          <w:highlight w:val="yellow"/>
        </w:rPr>
        <w:t>onnées de santé si la réglementation le lui impose)</w:t>
      </w:r>
      <w:r w:rsidRPr="00F26CE7">
        <w:rPr>
          <w:highlight w:val="yellow"/>
        </w:rPr>
        <w:t xml:space="preserve"> ; </w:t>
      </w:r>
    </w:p>
    <w:p w14:paraId="76C05503" w14:textId="493E9F19" w:rsidR="008D5A49" w:rsidRPr="00F26CE7" w:rsidRDefault="00F26CE7" w:rsidP="008D5A49">
      <w:pPr>
        <w:numPr>
          <w:ilvl w:val="0"/>
          <w:numId w:val="11"/>
        </w:numPr>
        <w:rPr>
          <w:highlight w:val="yellow"/>
        </w:rPr>
      </w:pPr>
      <w:r>
        <w:rPr>
          <w:highlight w:val="yellow"/>
        </w:rPr>
        <w:t>Adopter des c</w:t>
      </w:r>
      <w:r w:rsidR="008D5A49" w:rsidRPr="00F26CE7">
        <w:rPr>
          <w:highlight w:val="yellow"/>
        </w:rPr>
        <w:t>lauses d’entreprises contraignantes (BCR) avec ses filiales le cas échéant.</w:t>
      </w:r>
      <w:commentRangeEnd w:id="7"/>
      <w:r w:rsidR="009445DC">
        <w:rPr>
          <w:rStyle w:val="Marquedecommentaire"/>
        </w:rPr>
        <w:commentReference w:id="7"/>
      </w:r>
    </w:p>
    <w:p w14:paraId="35285972" w14:textId="37CB0F04" w:rsidR="004345F1" w:rsidRDefault="004345F1" w:rsidP="00C705D6"/>
    <w:p w14:paraId="5509B551" w14:textId="7FB131C7" w:rsidR="004345F1" w:rsidRPr="00984C1E" w:rsidRDefault="004345F1" w:rsidP="004345F1">
      <w:pPr>
        <w:pStyle w:val="Paragraphedeliste"/>
        <w:numPr>
          <w:ilvl w:val="0"/>
          <w:numId w:val="6"/>
        </w:numPr>
        <w:rPr>
          <w:b/>
          <w:u w:val="single"/>
        </w:rPr>
      </w:pPr>
      <w:r w:rsidRPr="004345F1">
        <w:rPr>
          <w:b/>
          <w:u w:val="single"/>
        </w:rPr>
        <w:t>Sort des données</w:t>
      </w:r>
    </w:p>
    <w:p w14:paraId="707DCD19" w14:textId="76EA2334" w:rsidR="00872232" w:rsidRPr="00872232" w:rsidRDefault="004345F1" w:rsidP="00872232">
      <w:pPr>
        <w:ind w:firstLine="360"/>
      </w:pPr>
      <w:r>
        <w:t>Au terme de la prestation de services relatifs au traitement de ces données, le sous-</w:t>
      </w:r>
      <w:r w:rsidRPr="00872232">
        <w:t xml:space="preserve">traitant s’engage </w:t>
      </w:r>
      <w:r w:rsidR="00C705D6">
        <w:t xml:space="preserve">à </w:t>
      </w:r>
      <w:r w:rsidRPr="00872232">
        <w:t>détruire toutes le</w:t>
      </w:r>
      <w:r w:rsidR="00872232" w:rsidRPr="00872232">
        <w:t xml:space="preserve">s données à caractère personnel et </w:t>
      </w:r>
      <w:r w:rsidRPr="00872232">
        <w:t>à renvoyer</w:t>
      </w:r>
      <w:r w:rsidR="00DA3B5D">
        <w:t xml:space="preserve"> à titre grat</w:t>
      </w:r>
      <w:r w:rsidR="00872232" w:rsidRPr="00872232">
        <w:t>uit et dans un format exploitable</w:t>
      </w:r>
      <w:r w:rsidRPr="00872232">
        <w:t xml:space="preserve"> toutes les données à caractère personnel au responsable de traitement</w:t>
      </w:r>
      <w:r w:rsidR="00DA3B5D">
        <w:t>, à moins que le droit de l’Union européenne ou le droit national n’impose de les conserver plus longtemps.</w:t>
      </w:r>
    </w:p>
    <w:p w14:paraId="5146F162" w14:textId="77777777" w:rsidR="00C705D6" w:rsidRDefault="004345F1" w:rsidP="00C705D6">
      <w:pPr>
        <w:ind w:firstLine="360"/>
      </w:pPr>
      <w:r w:rsidRPr="00872232">
        <w:t>Le renvoi doit s’accompagner de la destruction de toutes les copies existantes dans les systèmes d’information du sous-traitant. Une fois détruites, le sous-traitant doit justifier par écrit de la destruction.</w:t>
      </w:r>
      <w:r w:rsidR="00C705D6">
        <w:t xml:space="preserve"> </w:t>
      </w:r>
    </w:p>
    <w:p w14:paraId="6DCA2CBF" w14:textId="0C0DA664" w:rsidR="00C705D6" w:rsidRDefault="00C705D6" w:rsidP="00C705D6">
      <w:pPr>
        <w:ind w:firstLine="360"/>
      </w:pPr>
      <w:r>
        <w:t xml:space="preserve">Le sous-traitant n’est pas autorisé à </w:t>
      </w:r>
      <w:proofErr w:type="spellStart"/>
      <w:r>
        <w:t>anonymiser</w:t>
      </w:r>
      <w:proofErr w:type="spellEnd"/>
      <w:r>
        <w:t xml:space="preserve"> les données sans avoir fait valider au préalable sa procédure d’anonymisation par le responsable de traitement. </w:t>
      </w:r>
    </w:p>
    <w:p w14:paraId="25322EC5" w14:textId="46813EA9" w:rsidR="004345F1" w:rsidRDefault="00C705D6" w:rsidP="00C705D6">
      <w:pPr>
        <w:ind w:firstLine="360"/>
      </w:pPr>
      <w:r>
        <w:t xml:space="preserve">Le sous-traitant mettra à la disposition du responsable de traitement à première demande toute la documentation nécessaire pour démontrer le respect de ses obligations.  </w:t>
      </w:r>
    </w:p>
    <w:p w14:paraId="11390A9E" w14:textId="77777777" w:rsidR="004345F1" w:rsidRPr="00264151" w:rsidRDefault="004345F1" w:rsidP="004345F1"/>
    <w:p w14:paraId="79709345" w14:textId="79BE53D9" w:rsidR="004345F1" w:rsidRPr="00984C1E" w:rsidRDefault="004345F1" w:rsidP="00984C1E">
      <w:pPr>
        <w:pStyle w:val="Paragraphedeliste"/>
        <w:numPr>
          <w:ilvl w:val="0"/>
          <w:numId w:val="6"/>
        </w:numPr>
        <w:rPr>
          <w:b/>
          <w:u w:val="single"/>
        </w:rPr>
      </w:pPr>
      <w:r w:rsidRPr="004345F1">
        <w:rPr>
          <w:b/>
          <w:u w:val="single"/>
        </w:rPr>
        <w:lastRenderedPageBreak/>
        <w:t>Délégué à la protection des données</w:t>
      </w:r>
    </w:p>
    <w:p w14:paraId="6ECEC96E" w14:textId="2BA48D29" w:rsidR="004345F1" w:rsidRDefault="004345F1" w:rsidP="004345F1">
      <w:pPr>
        <w:ind w:firstLine="360"/>
      </w:pPr>
      <w:r w:rsidRPr="002B20D6">
        <w:t>Le sous-traitant communique au responsable de traitement </w:t>
      </w:r>
      <w:r w:rsidRPr="002B20D6">
        <w:rPr>
          <w:rStyle w:val="lev"/>
        </w:rPr>
        <w:t>le nom et les coordonnées de son délégué à la protection des données,</w:t>
      </w:r>
      <w:r>
        <w:t xml:space="preserve"> s’il en a désigné un conformément à l’article 37 du règlement européen sur la protection des données</w:t>
      </w:r>
      <w:r w:rsidR="002B20D6">
        <w:t xml:space="preserve"> : </w:t>
      </w:r>
      <w:commentRangeStart w:id="8"/>
      <w:r w:rsidR="002B20D6" w:rsidRPr="003B6D1A">
        <w:rPr>
          <w:highlight w:val="yellow"/>
        </w:rPr>
        <w:t>[à compléter]</w:t>
      </w:r>
      <w:r w:rsidR="002B20D6">
        <w:t>.</w:t>
      </w:r>
      <w:commentRangeEnd w:id="8"/>
      <w:r w:rsidR="009445DC">
        <w:rPr>
          <w:rStyle w:val="Marquedecommentaire"/>
        </w:rPr>
        <w:commentReference w:id="8"/>
      </w:r>
    </w:p>
    <w:p w14:paraId="0E127B79" w14:textId="77777777" w:rsidR="004345F1" w:rsidRDefault="004345F1" w:rsidP="004345F1">
      <w:pPr>
        <w:ind w:firstLine="360"/>
      </w:pPr>
    </w:p>
    <w:p w14:paraId="7F296907" w14:textId="1D95F8B2" w:rsidR="004345F1" w:rsidRPr="00984C1E" w:rsidRDefault="004345F1" w:rsidP="004345F1">
      <w:pPr>
        <w:pStyle w:val="Paragraphedeliste"/>
        <w:numPr>
          <w:ilvl w:val="0"/>
          <w:numId w:val="6"/>
        </w:numPr>
        <w:rPr>
          <w:b/>
          <w:u w:val="single"/>
        </w:rPr>
      </w:pPr>
      <w:r w:rsidRPr="00264151">
        <w:rPr>
          <w:b/>
          <w:u w:val="single"/>
        </w:rPr>
        <w:t>Registre des catégories d’activités de traitement</w:t>
      </w:r>
    </w:p>
    <w:p w14:paraId="72AF2C0C" w14:textId="77777777" w:rsidR="004345F1" w:rsidRPr="00264151" w:rsidRDefault="004345F1" w:rsidP="004345F1">
      <w:pPr>
        <w:ind w:firstLine="360"/>
      </w:pPr>
      <w:r w:rsidRPr="00264151">
        <w:t>Le sous-traitant déclare </w:t>
      </w:r>
      <w:r w:rsidRPr="00264151">
        <w:rPr>
          <w:b/>
          <w:bCs/>
        </w:rPr>
        <w:t>tenir par écrit un registre</w:t>
      </w:r>
      <w:r w:rsidRPr="00264151">
        <w:t> de toutes les catégories d’activités de traitement effectuées pour le compte du responsable de traitement comprenant :</w:t>
      </w:r>
    </w:p>
    <w:p w14:paraId="4539C7F6" w14:textId="77777777" w:rsidR="004345F1" w:rsidRPr="00264151" w:rsidRDefault="004345F1" w:rsidP="004345F1">
      <w:pPr>
        <w:numPr>
          <w:ilvl w:val="0"/>
          <w:numId w:val="14"/>
        </w:numPr>
      </w:pPr>
      <w:proofErr w:type="gramStart"/>
      <w:r w:rsidRPr="00264151">
        <w:t>le</w:t>
      </w:r>
      <w:proofErr w:type="gramEnd"/>
      <w:r w:rsidRPr="00264151">
        <w:t xml:space="preserve"> nom et les coordonnées du responsable de traitement pour le compte duquel il agit, des éventuels sous-traitants et, le cas échéant, du délégué à la protection des données</w:t>
      </w:r>
      <w:r>
        <w:t xml:space="preserve"> </w:t>
      </w:r>
      <w:r w:rsidRPr="00264151">
        <w:t>;</w:t>
      </w:r>
    </w:p>
    <w:p w14:paraId="54B90F18" w14:textId="77777777" w:rsidR="004345F1" w:rsidRPr="00264151" w:rsidRDefault="004345F1" w:rsidP="004345F1">
      <w:pPr>
        <w:numPr>
          <w:ilvl w:val="0"/>
          <w:numId w:val="14"/>
        </w:numPr>
      </w:pPr>
      <w:proofErr w:type="gramStart"/>
      <w:r w:rsidRPr="00264151">
        <w:t>les</w:t>
      </w:r>
      <w:proofErr w:type="gramEnd"/>
      <w:r w:rsidRPr="00264151">
        <w:t xml:space="preserve"> catégories de traitements effectués pour le compte du responsable du traitement</w:t>
      </w:r>
      <w:r>
        <w:t xml:space="preserve"> </w:t>
      </w:r>
      <w:r w:rsidRPr="00264151">
        <w:t>;</w:t>
      </w:r>
    </w:p>
    <w:p w14:paraId="5A84E6AE" w14:textId="77777777" w:rsidR="004345F1" w:rsidRPr="00264151" w:rsidRDefault="004345F1" w:rsidP="004345F1">
      <w:pPr>
        <w:numPr>
          <w:ilvl w:val="0"/>
          <w:numId w:val="14"/>
        </w:numPr>
      </w:pPr>
      <w:proofErr w:type="gramStart"/>
      <w:r w:rsidRPr="00264151">
        <w:t>le</w:t>
      </w:r>
      <w:proofErr w:type="gramEnd"/>
      <w:r w:rsidRPr="00264151">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t xml:space="preserve"> </w:t>
      </w:r>
      <w:r w:rsidRPr="00264151">
        <w:t>;</w:t>
      </w:r>
    </w:p>
    <w:p w14:paraId="37928EAF" w14:textId="77777777" w:rsidR="004345F1" w:rsidRPr="00264151" w:rsidRDefault="004345F1" w:rsidP="004345F1">
      <w:pPr>
        <w:numPr>
          <w:ilvl w:val="0"/>
          <w:numId w:val="14"/>
        </w:numPr>
      </w:pPr>
      <w:proofErr w:type="gramStart"/>
      <w:r w:rsidRPr="00264151">
        <w:t>dans</w:t>
      </w:r>
      <w:proofErr w:type="gramEnd"/>
      <w:r w:rsidRPr="00264151">
        <w:t xml:space="preserve"> la mesure du possible, une description générale des mesures de sécurité techniques et organisationnelles, y compris entre autres, selon les besoins : </w:t>
      </w:r>
    </w:p>
    <w:p w14:paraId="0C789184" w14:textId="77777777" w:rsidR="004345F1" w:rsidRPr="00264151" w:rsidRDefault="004345F1" w:rsidP="004345F1">
      <w:pPr>
        <w:numPr>
          <w:ilvl w:val="1"/>
          <w:numId w:val="14"/>
        </w:numPr>
      </w:pPr>
      <w:proofErr w:type="gramStart"/>
      <w:r w:rsidRPr="00264151">
        <w:t>la</w:t>
      </w:r>
      <w:proofErr w:type="gramEnd"/>
      <w:r w:rsidRPr="00264151">
        <w:t xml:space="preserve"> </w:t>
      </w:r>
      <w:proofErr w:type="spellStart"/>
      <w:r w:rsidRPr="00264151">
        <w:t>pseudonymisation</w:t>
      </w:r>
      <w:proofErr w:type="spellEnd"/>
      <w:r w:rsidRPr="00264151">
        <w:t xml:space="preserve"> et le chiffrement des données à caractère personnel;</w:t>
      </w:r>
    </w:p>
    <w:p w14:paraId="08732270" w14:textId="77777777" w:rsidR="004345F1" w:rsidRPr="00264151" w:rsidRDefault="004345F1" w:rsidP="004345F1">
      <w:pPr>
        <w:numPr>
          <w:ilvl w:val="1"/>
          <w:numId w:val="14"/>
        </w:numPr>
      </w:pPr>
      <w:proofErr w:type="gramStart"/>
      <w:r w:rsidRPr="00264151">
        <w:t>des</w:t>
      </w:r>
      <w:proofErr w:type="gramEnd"/>
      <w:r w:rsidRPr="00264151">
        <w:t xml:space="preserve"> moyens permettant de garantir la confidentialité, l'intégrité, la disponibilité et la résilience constantes des systèmes et des services de traitement;</w:t>
      </w:r>
    </w:p>
    <w:p w14:paraId="43FCDFFB" w14:textId="77777777" w:rsidR="004345F1" w:rsidRPr="00264151" w:rsidRDefault="004345F1" w:rsidP="004345F1">
      <w:pPr>
        <w:numPr>
          <w:ilvl w:val="1"/>
          <w:numId w:val="14"/>
        </w:numPr>
      </w:pPr>
      <w:proofErr w:type="gramStart"/>
      <w:r w:rsidRPr="00264151">
        <w:t>des</w:t>
      </w:r>
      <w:proofErr w:type="gramEnd"/>
      <w:r w:rsidRPr="00264151">
        <w:t xml:space="preserve"> moyens permettant de rétablir la disponibilité des données à caractère personnel et l'accès à celles-ci dans des délais appropriés en cas d'incident physique ou technique;</w:t>
      </w:r>
    </w:p>
    <w:p w14:paraId="572969FD" w14:textId="77777777" w:rsidR="004345F1" w:rsidRPr="00264151" w:rsidRDefault="004345F1" w:rsidP="004345F1">
      <w:pPr>
        <w:numPr>
          <w:ilvl w:val="1"/>
          <w:numId w:val="14"/>
        </w:numPr>
      </w:pPr>
      <w:proofErr w:type="gramStart"/>
      <w:r w:rsidRPr="00264151">
        <w:t>une</w:t>
      </w:r>
      <w:proofErr w:type="gramEnd"/>
      <w:r w:rsidRPr="00264151">
        <w:t xml:space="preserve"> procédure visant à tester, à analyser et à évaluer régulièrement l'efficacité des mesures techniques et organisationnelles pour assurer la sécurité du traitement.</w:t>
      </w:r>
    </w:p>
    <w:p w14:paraId="6AD3E586" w14:textId="77777777" w:rsidR="004345F1" w:rsidRDefault="004345F1" w:rsidP="004345F1"/>
    <w:p w14:paraId="0A784267" w14:textId="2C589C72" w:rsidR="004345F1" w:rsidRPr="00984C1E" w:rsidRDefault="004345F1" w:rsidP="004345F1">
      <w:pPr>
        <w:pStyle w:val="Paragraphedeliste"/>
        <w:numPr>
          <w:ilvl w:val="0"/>
          <w:numId w:val="6"/>
        </w:numPr>
        <w:rPr>
          <w:b/>
          <w:u w:val="single"/>
        </w:rPr>
      </w:pPr>
      <w:r w:rsidRPr="00A366BB">
        <w:rPr>
          <w:b/>
          <w:u w:val="single"/>
        </w:rPr>
        <w:t>Documentation</w:t>
      </w:r>
      <w:r>
        <w:rPr>
          <w:b/>
          <w:u w:val="single"/>
        </w:rPr>
        <w:t xml:space="preserve"> et audit</w:t>
      </w:r>
    </w:p>
    <w:p w14:paraId="6E408586" w14:textId="77777777" w:rsidR="009B76A7" w:rsidRDefault="009B76A7" w:rsidP="009B76A7">
      <w:r>
        <w:t>Le sous-traitant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w:t>
      </w:r>
    </w:p>
    <w:p w14:paraId="3C4F5CBE" w14:textId="77777777" w:rsidR="009B76A7" w:rsidRDefault="009B76A7" w:rsidP="009B76A7">
      <w:r>
        <w:t xml:space="preserve">Les audits doivent permettre une analyse du respect des dispositions relatives à la protection des Données, notamment : par la vérification de l’ensemble des mesures de sécurité mises en œuvre par le sous-traitant, par la vérification des journaux de localisation des Données, de copie et de suppression des Données, par l’analyse des mesures mises en place pour supprimer les Données, pour prévenir toutes transmissions illégales de </w:t>
      </w:r>
      <w:r>
        <w:lastRenderedPageBreak/>
        <w:t>Données à des juridictions non adéquates ou pour empêcher le transfert de Données vers un pays non autorisé. L’audit doit enfin pouvoir permettre de s’assurer que les mesures de sécurité et de confidentialité mises en place ne peuvent être contournées sans que cela ne soit détecté et notifié.</w:t>
      </w:r>
    </w:p>
    <w:p w14:paraId="4BA5B0A0" w14:textId="77777777" w:rsidR="009B76A7" w:rsidRDefault="009B76A7" w:rsidP="009B76A7">
      <w:r>
        <w:t>Moyennant le respect d’un préavis raisonnable, le sous-traitant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L’audit ne peut avoir lieu que sur des jours de travail ouvrés et ne peut avoir pour conséquence de perturber le bon fonctionnement du service.</w:t>
      </w:r>
    </w:p>
    <w:p w14:paraId="633CD078" w14:textId="5AFE167F" w:rsidR="004345F1" w:rsidRDefault="009B76A7" w:rsidP="009B76A7">
      <w:r>
        <w:t>Si les conclusions de l'audit démontrent un manquement du sous-traitant à ses obligations contractuelles (i) les mesures correctives seront étudiées en comité de pilotage qui statuera sur la suite qu'il convient d'y donner et des éventuelles mesures correctives à mettre en œuvre, sans surcoût, (ii) les frais d’audit seront mis à la charge du sous-traitant. En cas de non-respect du délai de remédiation, des pénalités de retard pourront être appliquées.</w:t>
      </w:r>
    </w:p>
    <w:p w14:paraId="60B1F88D" w14:textId="77777777" w:rsidR="009B76A7" w:rsidRDefault="009B76A7" w:rsidP="009B76A7"/>
    <w:p w14:paraId="2F1681FB" w14:textId="77777777" w:rsidR="004345F1" w:rsidRDefault="004345F1" w:rsidP="00E67F7D">
      <w:pPr>
        <w:pStyle w:val="Titre1"/>
      </w:pPr>
      <w:r>
        <w:t>Obligations du responsable de traitement vis-à-vis du sous-traitant</w:t>
      </w:r>
    </w:p>
    <w:p w14:paraId="0D8553BA" w14:textId="77777777" w:rsidR="004345F1" w:rsidRDefault="004345F1" w:rsidP="004345F1">
      <w:pPr>
        <w:spacing w:line="240" w:lineRule="auto"/>
        <w:jc w:val="left"/>
        <w:rPr>
          <w:b/>
          <w:u w:val="single"/>
        </w:rPr>
      </w:pPr>
    </w:p>
    <w:p w14:paraId="4EE9BC5E" w14:textId="77777777" w:rsidR="004345F1" w:rsidRPr="004345F1" w:rsidRDefault="004345F1" w:rsidP="004345F1">
      <w:pPr>
        <w:rPr>
          <w:lang w:eastAsia="fr-FR"/>
        </w:rPr>
      </w:pPr>
      <w:r w:rsidRPr="004345F1">
        <w:rPr>
          <w:lang w:eastAsia="fr-FR"/>
        </w:rPr>
        <w:t>Le responsable de traitement s’engage à :</w:t>
      </w:r>
    </w:p>
    <w:p w14:paraId="77EC4C05" w14:textId="77777777" w:rsidR="004345F1" w:rsidRPr="004345F1" w:rsidRDefault="004345F1" w:rsidP="004345F1">
      <w:pPr>
        <w:pStyle w:val="Paragraphedeliste"/>
        <w:numPr>
          <w:ilvl w:val="0"/>
          <w:numId w:val="17"/>
        </w:numPr>
        <w:rPr>
          <w:lang w:eastAsia="fr-FR"/>
        </w:rPr>
      </w:pPr>
      <w:proofErr w:type="gramStart"/>
      <w:r w:rsidRPr="004345F1">
        <w:rPr>
          <w:lang w:eastAsia="fr-FR"/>
        </w:rPr>
        <w:t>fournir</w:t>
      </w:r>
      <w:proofErr w:type="gramEnd"/>
      <w:r w:rsidRPr="004345F1">
        <w:rPr>
          <w:lang w:eastAsia="fr-FR"/>
        </w:rPr>
        <w:t xml:space="preserve"> au sous-traitant les données visées au II des présentes clauses</w:t>
      </w:r>
      <w:r w:rsidR="006F7196">
        <w:rPr>
          <w:lang w:eastAsia="fr-FR"/>
        </w:rPr>
        <w:t> ;</w:t>
      </w:r>
    </w:p>
    <w:p w14:paraId="3F2D4EE8" w14:textId="77777777" w:rsidR="004345F1" w:rsidRPr="004345F1" w:rsidRDefault="004345F1" w:rsidP="004345F1">
      <w:pPr>
        <w:pStyle w:val="Paragraphedeliste"/>
        <w:numPr>
          <w:ilvl w:val="0"/>
          <w:numId w:val="17"/>
        </w:numPr>
        <w:rPr>
          <w:lang w:eastAsia="fr-FR"/>
        </w:rPr>
      </w:pPr>
      <w:proofErr w:type="gramStart"/>
      <w:r w:rsidRPr="004345F1">
        <w:rPr>
          <w:lang w:eastAsia="fr-FR"/>
        </w:rPr>
        <w:t>documenter</w:t>
      </w:r>
      <w:proofErr w:type="gramEnd"/>
      <w:r w:rsidRPr="004345F1">
        <w:rPr>
          <w:lang w:eastAsia="fr-FR"/>
        </w:rPr>
        <w:t xml:space="preserve"> par écrit toute instruction concernant le traitement des données par le sous-traitant</w:t>
      </w:r>
      <w:r w:rsidR="006F7196">
        <w:rPr>
          <w:lang w:eastAsia="fr-FR"/>
        </w:rPr>
        <w:t> ;</w:t>
      </w:r>
    </w:p>
    <w:p w14:paraId="4838F41F" w14:textId="77777777" w:rsidR="004345F1" w:rsidRPr="004345F1" w:rsidRDefault="004345F1" w:rsidP="004345F1">
      <w:pPr>
        <w:pStyle w:val="Paragraphedeliste"/>
        <w:numPr>
          <w:ilvl w:val="0"/>
          <w:numId w:val="17"/>
        </w:numPr>
        <w:rPr>
          <w:lang w:eastAsia="fr-FR"/>
        </w:rPr>
      </w:pPr>
      <w:proofErr w:type="gramStart"/>
      <w:r w:rsidRPr="004345F1">
        <w:rPr>
          <w:lang w:eastAsia="fr-FR"/>
        </w:rPr>
        <w:t>veiller</w:t>
      </w:r>
      <w:proofErr w:type="gramEnd"/>
      <w:r w:rsidRPr="004345F1">
        <w:rPr>
          <w:lang w:eastAsia="fr-FR"/>
        </w:rPr>
        <w:t>, au préalable et pendant toute la durée du traitement, au respect des obligations prévues par le règlement européen sur la protection des données de la part du sous-traitant</w:t>
      </w:r>
      <w:r w:rsidR="006F7196">
        <w:rPr>
          <w:lang w:eastAsia="fr-FR"/>
        </w:rPr>
        <w:t> ;</w:t>
      </w:r>
    </w:p>
    <w:p w14:paraId="4BFA1AEF" w14:textId="77777777" w:rsidR="004345F1" w:rsidRPr="004345F1" w:rsidRDefault="004345F1" w:rsidP="004345F1">
      <w:pPr>
        <w:pStyle w:val="Paragraphedeliste"/>
        <w:numPr>
          <w:ilvl w:val="0"/>
          <w:numId w:val="17"/>
        </w:numPr>
        <w:rPr>
          <w:lang w:eastAsia="fr-FR"/>
        </w:rPr>
      </w:pPr>
      <w:proofErr w:type="gramStart"/>
      <w:r w:rsidRPr="004345F1">
        <w:rPr>
          <w:lang w:eastAsia="fr-FR"/>
        </w:rPr>
        <w:t>superviser</w:t>
      </w:r>
      <w:proofErr w:type="gramEnd"/>
      <w:r w:rsidRPr="004345F1">
        <w:rPr>
          <w:lang w:eastAsia="fr-FR"/>
        </w:rPr>
        <w:t xml:space="preserve"> le traitement, y compris réaliser les audits et les inspections auprès du sous-traitant</w:t>
      </w:r>
      <w:r w:rsidR="006F7196">
        <w:rPr>
          <w:lang w:eastAsia="fr-FR"/>
        </w:rPr>
        <w:t>.</w:t>
      </w:r>
    </w:p>
    <w:p w14:paraId="54E81C36" w14:textId="77777777" w:rsidR="00EE4021" w:rsidRDefault="00EE4021" w:rsidP="004345F1">
      <w:pPr>
        <w:spacing w:line="240" w:lineRule="auto"/>
        <w:jc w:val="left"/>
        <w:rPr>
          <w:b/>
          <w:u w:val="single"/>
        </w:rPr>
      </w:pPr>
    </w:p>
    <w:p w14:paraId="678F3834" w14:textId="77777777" w:rsidR="00EE4021" w:rsidRDefault="00EE4021" w:rsidP="00EE4021">
      <w:pPr>
        <w:pStyle w:val="Titre1"/>
      </w:pPr>
      <w:r>
        <w:t>Droit d’information des personnes concernées</w:t>
      </w:r>
    </w:p>
    <w:p w14:paraId="7C6C1501" w14:textId="77777777" w:rsidR="00BC3ACB" w:rsidRPr="00BC3ACB" w:rsidRDefault="00BC3ACB" w:rsidP="00BC3ACB">
      <w:pPr>
        <w:rPr>
          <w:highlight w:val="yellow"/>
        </w:rPr>
      </w:pPr>
    </w:p>
    <w:p w14:paraId="596EB9B4" w14:textId="184548A7" w:rsidR="00EE4021" w:rsidRPr="004D3202" w:rsidRDefault="00EE4021" w:rsidP="00BC3ACB">
      <w:pPr>
        <w:ind w:firstLine="360"/>
      </w:pPr>
      <w:r w:rsidRPr="0090677B">
        <w:t>Il appartient au responsable de traitement de fournir l’information aux personnes concernées par les opérations de traitement au moment de la collecte des données.</w:t>
      </w:r>
      <w:r w:rsidR="0094452C" w:rsidRPr="0090677B">
        <w:t xml:space="preserve"> </w:t>
      </w:r>
      <w:r w:rsidR="003A3C94" w:rsidRPr="0090677B">
        <w:t>Le sous-traitant</w:t>
      </w:r>
      <w:r w:rsidR="0094452C" w:rsidRPr="0090677B">
        <w:t xml:space="preserve"> s’engage</w:t>
      </w:r>
      <w:r w:rsidR="003A3C94" w:rsidRPr="0090677B">
        <w:t xml:space="preserve"> le cas échéant à transmettre au responsable de traitement </w:t>
      </w:r>
      <w:r w:rsidR="0094452C" w:rsidRPr="0090677B">
        <w:t>préalablement tous les éléments nécessaires à cette i</w:t>
      </w:r>
      <w:r w:rsidR="003A3C94" w:rsidRPr="0090677B">
        <w:t>nformation à première demande du responsable de traitement</w:t>
      </w:r>
      <w:r w:rsidR="0094452C" w:rsidRPr="0090677B">
        <w:t>.</w:t>
      </w:r>
    </w:p>
    <w:p w14:paraId="1B3FA880" w14:textId="367C7F6F" w:rsidR="0090677B" w:rsidRPr="004345F1" w:rsidRDefault="0090677B" w:rsidP="004D3202"/>
    <w:p w14:paraId="607784B0" w14:textId="77777777" w:rsidR="00A569FD" w:rsidRPr="003821E5" w:rsidRDefault="000E6D5D" w:rsidP="003821E5">
      <w:pPr>
        <w:pStyle w:val="Titre1"/>
      </w:pPr>
      <w:r w:rsidRPr="003821E5">
        <w:t>Droit des personnes concernées</w:t>
      </w:r>
    </w:p>
    <w:p w14:paraId="642A47B3" w14:textId="77777777" w:rsidR="000E6D5D" w:rsidRDefault="000E6D5D" w:rsidP="000E6D5D"/>
    <w:p w14:paraId="3462874A" w14:textId="77777777" w:rsidR="000071EB" w:rsidRDefault="000071EB" w:rsidP="000071EB">
      <w:pPr>
        <w:ind w:firstLine="708"/>
      </w:pPr>
      <w:r>
        <w:lastRenderedPageBreak/>
        <w:t>Lorsque les personnes concernées exercent auprès du sous-traitant des demandes d’exercice de leurs droits, le sous-traitant doit adresser ces demandes dès réception par courrier électronique</w:t>
      </w:r>
      <w:r w:rsidR="004D3202">
        <w:t xml:space="preserve"> et dans un délai maximum de 72 heures</w:t>
      </w:r>
      <w:r>
        <w:t xml:space="preserve"> à</w:t>
      </w:r>
      <w:r w:rsidR="004D3202">
        <w:t xml:space="preserve"> l’adresse suivante :</w:t>
      </w:r>
      <w:r>
        <w:t xml:space="preserve"> </w:t>
      </w:r>
      <w:hyperlink r:id="rId11" w:history="1">
        <w:r w:rsidR="004D3202" w:rsidRPr="00001DAD">
          <w:rPr>
            <w:rStyle w:val="Lienhypertexte"/>
          </w:rPr>
          <w:t>dpo@ght21-52.fr</w:t>
        </w:r>
      </w:hyperlink>
      <w:r w:rsidR="004D3202">
        <w:t xml:space="preserve"> </w:t>
      </w:r>
    </w:p>
    <w:p w14:paraId="42ECFEA5" w14:textId="20EB6D05" w:rsidR="00737E2C" w:rsidRDefault="00737E2C" w:rsidP="000E6D5D">
      <w:pPr>
        <w:ind w:firstLine="708"/>
      </w:pPr>
      <w: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Le sous-traitant doit se conformer, dans la mesure du possible et dès que cela est nécessaire, à toute instruction documentée du responsable de traitement participant à donner suite, de manière pleinement effective, aux demandes d’exercice des droits des personnes concernées. </w:t>
      </w:r>
    </w:p>
    <w:p w14:paraId="02C219C9" w14:textId="77777777" w:rsidR="00F156D2" w:rsidRDefault="00F156D2" w:rsidP="000E6D5D">
      <w:pPr>
        <w:ind w:firstLine="708"/>
      </w:pPr>
    </w:p>
    <w:sectPr w:rsidR="00F156D2" w:rsidSect="001F7CFE">
      <w:headerReference w:type="default" r:id="rId12"/>
      <w:footerReference w:type="default" r:id="rId13"/>
      <w:pgSz w:w="11906" w:h="16838"/>
      <w:pgMar w:top="851" w:right="851" w:bottom="851"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DA Mitra" w:date="2024-09-23T16:49:00Z" w:initials="AM">
    <w:p w14:paraId="52588F0E" w14:textId="4D388086" w:rsidR="0090677B" w:rsidRDefault="0090677B">
      <w:pPr>
        <w:pStyle w:val="Commentaire"/>
      </w:pPr>
      <w:r>
        <w:rPr>
          <w:rStyle w:val="Marquedecommentaire"/>
        </w:rPr>
        <w:annotationRef/>
      </w:r>
      <w:r>
        <w:t xml:space="preserve">Il </w:t>
      </w:r>
      <w:r w:rsidRPr="0090677B">
        <w:t xml:space="preserve">faut décrire ici l’objectif </w:t>
      </w:r>
      <w:proofErr w:type="spellStart"/>
      <w:r w:rsidRPr="0090677B">
        <w:t>i.e</w:t>
      </w:r>
      <w:proofErr w:type="spellEnd"/>
      <w:r w:rsidRPr="0090677B">
        <w:t xml:space="preserve"> expliquer pourquoi les données personnelles sont traitées, à quelle(s) fin(s)</w:t>
      </w:r>
      <w:r>
        <w:t>.</w:t>
      </w:r>
    </w:p>
  </w:comment>
  <w:comment w:id="1" w:author="ADA Mitra" w:date="2024-09-23T16:49:00Z" w:initials="AM">
    <w:p w14:paraId="4C3E2DAD" w14:textId="77777777" w:rsidR="0090677B" w:rsidRDefault="0090677B" w:rsidP="0090677B">
      <w:pPr>
        <w:pStyle w:val="Commentaire"/>
      </w:pPr>
      <w:r>
        <w:rPr>
          <w:rStyle w:val="Marquedecommentaire"/>
        </w:rPr>
        <w:annotationRef/>
      </w:r>
      <w:r>
        <w:t xml:space="preserve">C'est toute opération portant sur des données personnelles, quel que soit le procédé utilisé. </w:t>
      </w:r>
    </w:p>
    <w:p w14:paraId="086B17D3" w14:textId="728AC4B1" w:rsidR="0090677B" w:rsidRDefault="0090677B" w:rsidP="0090677B">
      <w:pPr>
        <w:pStyle w:val="Commentaire"/>
      </w:pPr>
      <w:r>
        <w:t>Exemples :</w:t>
      </w:r>
    </w:p>
    <w:p w14:paraId="0F7DA231" w14:textId="77777777" w:rsidR="0090677B" w:rsidRDefault="0090677B" w:rsidP="0090677B">
      <w:pPr>
        <w:pStyle w:val="Commentaire"/>
      </w:pPr>
      <w:r>
        <w:t>-</w:t>
      </w:r>
      <w:r>
        <w:tab/>
        <w:t xml:space="preserve">consultation ; </w:t>
      </w:r>
    </w:p>
    <w:p w14:paraId="61C3EF8A" w14:textId="77777777" w:rsidR="0090677B" w:rsidRDefault="0090677B" w:rsidP="0090677B">
      <w:pPr>
        <w:pStyle w:val="Commentaire"/>
      </w:pPr>
      <w:r>
        <w:t>-</w:t>
      </w:r>
      <w:r>
        <w:tab/>
        <w:t>enregistrement ;</w:t>
      </w:r>
    </w:p>
    <w:p w14:paraId="34C974C0" w14:textId="77777777" w:rsidR="0090677B" w:rsidRDefault="0090677B" w:rsidP="0090677B">
      <w:pPr>
        <w:pStyle w:val="Commentaire"/>
      </w:pPr>
      <w:r>
        <w:t>-</w:t>
      </w:r>
      <w:r>
        <w:tab/>
        <w:t>organisation ;</w:t>
      </w:r>
    </w:p>
    <w:p w14:paraId="2F90A7A4" w14:textId="77777777" w:rsidR="0090677B" w:rsidRDefault="0090677B" w:rsidP="0090677B">
      <w:pPr>
        <w:pStyle w:val="Commentaire"/>
      </w:pPr>
      <w:r>
        <w:t>-</w:t>
      </w:r>
      <w:r>
        <w:tab/>
        <w:t>transmission ;</w:t>
      </w:r>
    </w:p>
    <w:p w14:paraId="5B7C19C4" w14:textId="77777777" w:rsidR="0090677B" w:rsidRDefault="0090677B" w:rsidP="0090677B">
      <w:pPr>
        <w:pStyle w:val="Commentaire"/>
      </w:pPr>
      <w:r>
        <w:t>-</w:t>
      </w:r>
      <w:r>
        <w:tab/>
        <w:t xml:space="preserve">modification ; </w:t>
      </w:r>
    </w:p>
    <w:p w14:paraId="42F55037" w14:textId="77777777" w:rsidR="0090677B" w:rsidRDefault="0090677B" w:rsidP="0090677B">
      <w:pPr>
        <w:pStyle w:val="Commentaire"/>
      </w:pPr>
      <w:r>
        <w:t>-</w:t>
      </w:r>
      <w:r>
        <w:tab/>
        <w:t xml:space="preserve">import/export, de copies temporaires ; </w:t>
      </w:r>
    </w:p>
    <w:p w14:paraId="581329EB" w14:textId="77777777" w:rsidR="0090677B" w:rsidRDefault="0090677B" w:rsidP="0090677B">
      <w:pPr>
        <w:pStyle w:val="Commentaire"/>
      </w:pPr>
      <w:r>
        <w:t>-</w:t>
      </w:r>
      <w:r>
        <w:tab/>
        <w:t>rapprochement avec d’autres données ;</w:t>
      </w:r>
    </w:p>
    <w:p w14:paraId="723BF156" w14:textId="77777777" w:rsidR="0090677B" w:rsidRDefault="0090677B" w:rsidP="0090677B">
      <w:pPr>
        <w:pStyle w:val="Commentaire"/>
      </w:pPr>
      <w:r>
        <w:t>-</w:t>
      </w:r>
      <w:r>
        <w:tab/>
        <w:t xml:space="preserve">sauvegarde/restauration, réplication ; </w:t>
      </w:r>
    </w:p>
    <w:p w14:paraId="00A66FB3" w14:textId="77777777" w:rsidR="0090677B" w:rsidRDefault="0090677B" w:rsidP="0090677B">
      <w:pPr>
        <w:pStyle w:val="Commentaire"/>
      </w:pPr>
      <w:r>
        <w:t>-</w:t>
      </w:r>
      <w:r>
        <w:tab/>
        <w:t xml:space="preserve">sécurisation : chiffrement/déchiffrement, </w:t>
      </w:r>
      <w:proofErr w:type="spellStart"/>
      <w:r>
        <w:t>pseudonymisation</w:t>
      </w:r>
      <w:proofErr w:type="spellEnd"/>
      <w:r>
        <w:t xml:space="preserve"> en cas d’import de la base lors d’une opération de maintenance chez…</w:t>
      </w:r>
    </w:p>
    <w:p w14:paraId="0C17D875" w14:textId="77777777" w:rsidR="0090677B" w:rsidRDefault="0090677B" w:rsidP="0090677B">
      <w:pPr>
        <w:pStyle w:val="Commentaire"/>
      </w:pPr>
      <w:r>
        <w:t>-</w:t>
      </w:r>
      <w:r>
        <w:tab/>
        <w:t xml:space="preserve">récupération des données, de nettoyage ; </w:t>
      </w:r>
    </w:p>
    <w:p w14:paraId="705BBF92" w14:textId="0FE11339" w:rsidR="0090677B" w:rsidRDefault="0090677B" w:rsidP="0090677B">
      <w:pPr>
        <w:pStyle w:val="Commentaire"/>
      </w:pPr>
      <w:r>
        <w:t>-</w:t>
      </w:r>
      <w:r>
        <w:tab/>
        <w:t>divers autres usages liés aux obligations de maintenance.</w:t>
      </w:r>
    </w:p>
  </w:comment>
  <w:comment w:id="3" w:author="ADA Mitra" w:date="2024-09-23T16:51:00Z" w:initials="AM">
    <w:p w14:paraId="16A65744" w14:textId="34B889DE" w:rsidR="0090677B" w:rsidRDefault="0090677B">
      <w:pPr>
        <w:pStyle w:val="Commentaire"/>
      </w:pPr>
      <w:r>
        <w:rPr>
          <w:rStyle w:val="Marquedecommentaire"/>
        </w:rPr>
        <w:annotationRef/>
      </w:r>
      <w:r w:rsidRPr="0090677B">
        <w:t>Il s’agit des personnes concernées par le traitement de données. Exemple : agents, patients…</w:t>
      </w:r>
    </w:p>
  </w:comment>
  <w:comment w:id="4" w:author="ADA Mitra" w:date="2024-09-23T16:51:00Z" w:initials="AM">
    <w:p w14:paraId="41D76DF7" w14:textId="52C7A31B" w:rsidR="0090677B" w:rsidRDefault="0090677B">
      <w:pPr>
        <w:pStyle w:val="Commentaire"/>
      </w:pPr>
      <w:r>
        <w:rPr>
          <w:rStyle w:val="Marquedecommentaire"/>
        </w:rPr>
        <w:annotationRef/>
      </w:r>
      <w:r>
        <w:t>La q</w:t>
      </w:r>
      <w:r w:rsidRPr="0090677B">
        <w:t xml:space="preserve">uestion à se poser ici est « qui a besoin d’y accéder ou de les recevoir au vu des finalités définies, y compris les sous-traitants ? ». </w:t>
      </w:r>
      <w:r>
        <w:br/>
      </w:r>
      <w:r w:rsidRPr="0090677B">
        <w:t>Dresser la liste des destinataires internes (agents habilités de la DSN, service du recrutement…) et externes (sous-traitant…)</w:t>
      </w:r>
    </w:p>
  </w:comment>
  <w:comment w:id="5" w:author="ADA Mitra" w:date="2024-09-23T16:53:00Z" w:initials="AM">
    <w:p w14:paraId="2A0456E0" w14:textId="396E9997" w:rsidR="0090677B" w:rsidRDefault="0090677B">
      <w:pPr>
        <w:pStyle w:val="Commentaire"/>
      </w:pPr>
      <w:r>
        <w:rPr>
          <w:rStyle w:val="Marquedecommentaire"/>
        </w:rPr>
        <w:annotationRef/>
      </w:r>
      <w:r>
        <w:t>Indiquer</w:t>
      </w:r>
      <w:r w:rsidRPr="0090677B">
        <w:t xml:space="preserve"> clairement les activités de traitement sous-traitées, l’identité et les coordonnées du sous-traitant, la localisation des données et les dates du contrat de sous-traitance.</w:t>
      </w:r>
    </w:p>
  </w:comment>
  <w:comment w:id="6" w:author="ADA Mitra" w:date="2024-04-17T10:34:00Z" w:initials="AM">
    <w:p w14:paraId="3F541F4A" w14:textId="718EAA34" w:rsidR="00794111" w:rsidRDefault="00794111">
      <w:pPr>
        <w:pStyle w:val="Commentaire"/>
      </w:pPr>
      <w:r>
        <w:rPr>
          <w:rStyle w:val="Marquedecommentaire"/>
        </w:rPr>
        <w:annotationRef/>
      </w:r>
      <w:r>
        <w:t>Personne à contacter au CHU. Une adresse générique serait préférable.</w:t>
      </w:r>
    </w:p>
  </w:comment>
  <w:comment w:id="7" w:author="ADA Mitra" w:date="2024-10-16T12:11:00Z" w:initials="AM">
    <w:p w14:paraId="11109C5B" w14:textId="5EA03130" w:rsidR="009445DC" w:rsidRDefault="009445DC">
      <w:pPr>
        <w:pStyle w:val="Commentaire"/>
      </w:pPr>
      <w:r>
        <w:rPr>
          <w:rStyle w:val="Marquedecommentaire"/>
        </w:rPr>
        <w:annotationRef/>
      </w:r>
      <w:r>
        <w:t>A compléter par le ST</w:t>
      </w:r>
    </w:p>
  </w:comment>
  <w:comment w:id="8" w:author="ADA Mitra" w:date="2024-10-16T12:12:00Z" w:initials="AM">
    <w:p w14:paraId="49502B69" w14:textId="72E7A891" w:rsidR="009445DC" w:rsidRDefault="009445DC">
      <w:pPr>
        <w:pStyle w:val="Commentaire"/>
      </w:pPr>
      <w:r>
        <w:rPr>
          <w:rStyle w:val="Marquedecommentaire"/>
        </w:rPr>
        <w:annotationRef/>
      </w:r>
      <w:r>
        <w:t>A compléter par le 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2588F0E" w15:done="0"/>
  <w15:commentEx w15:paraId="705BBF92" w15:done="0"/>
  <w15:commentEx w15:paraId="16A65744" w15:done="0"/>
  <w15:commentEx w15:paraId="41D76DF7" w15:done="0"/>
  <w15:commentEx w15:paraId="2A0456E0" w15:done="0"/>
  <w15:commentEx w15:paraId="3F541F4A" w15:done="0"/>
  <w15:commentEx w15:paraId="11109C5B" w15:done="0"/>
  <w15:commentEx w15:paraId="49502B6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6F376" w14:textId="77777777" w:rsidR="007E0EA5" w:rsidRDefault="007E0EA5" w:rsidP="00037734">
      <w:pPr>
        <w:spacing w:line="240" w:lineRule="auto"/>
      </w:pPr>
      <w:r>
        <w:separator/>
      </w:r>
    </w:p>
  </w:endnote>
  <w:endnote w:type="continuationSeparator" w:id="0">
    <w:p w14:paraId="5B6263B4" w14:textId="77777777" w:rsidR="007E0EA5" w:rsidRDefault="007E0EA5" w:rsidP="000377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E518D" w14:textId="35A1D218" w:rsidR="00DC133F" w:rsidRPr="00FC3F55" w:rsidRDefault="002010FA" w:rsidP="00FC3F55">
    <w:pPr>
      <w:pStyle w:val="Pieddepage"/>
    </w:pPr>
    <w:r>
      <w:t>DPO – Contrat relatif</w:t>
    </w:r>
    <w:r w:rsidR="00037734">
      <w:t xml:space="preserve"> à la protection des données </w:t>
    </w:r>
    <w:r w:rsidR="00FB4A03">
      <w:t>à caractère personnel</w:t>
    </w:r>
    <w:r w:rsidR="000069BE">
      <w:t xml:space="preserve"> </w:t>
    </w:r>
    <w:r w:rsidR="000069BE" w:rsidRPr="00FC3F55">
      <w:tab/>
      <w:t xml:space="preserve">Page </w:t>
    </w:r>
    <w:r w:rsidR="000069BE" w:rsidRPr="00FC3F55">
      <w:rPr>
        <w:b/>
      </w:rPr>
      <w:fldChar w:fldCharType="begin"/>
    </w:r>
    <w:r w:rsidR="000069BE" w:rsidRPr="00FC3F55">
      <w:rPr>
        <w:b/>
      </w:rPr>
      <w:instrText>PAGE  \* Arabic  \* MERGEFORMAT</w:instrText>
    </w:r>
    <w:r w:rsidR="000069BE" w:rsidRPr="00FC3F55">
      <w:rPr>
        <w:b/>
      </w:rPr>
      <w:fldChar w:fldCharType="separate"/>
    </w:r>
    <w:r w:rsidR="00E07408">
      <w:rPr>
        <w:b/>
        <w:noProof/>
      </w:rPr>
      <w:t>10</w:t>
    </w:r>
    <w:r w:rsidR="000069BE" w:rsidRPr="00FC3F55">
      <w:fldChar w:fldCharType="end"/>
    </w:r>
    <w:r w:rsidR="000069BE" w:rsidRPr="00FC3F55">
      <w:t xml:space="preserve"> sur </w:t>
    </w:r>
    <w:r w:rsidR="000069BE" w:rsidRPr="00FC3F55">
      <w:rPr>
        <w:b/>
      </w:rPr>
      <w:fldChar w:fldCharType="begin"/>
    </w:r>
    <w:r w:rsidR="000069BE" w:rsidRPr="00FC3F55">
      <w:rPr>
        <w:b/>
      </w:rPr>
      <w:instrText>NUMPAGES  \* Arabic  \* MERGEFORMAT</w:instrText>
    </w:r>
    <w:r w:rsidR="000069BE" w:rsidRPr="00FC3F55">
      <w:rPr>
        <w:b/>
      </w:rPr>
      <w:fldChar w:fldCharType="separate"/>
    </w:r>
    <w:r w:rsidR="00E07408">
      <w:rPr>
        <w:b/>
        <w:noProof/>
      </w:rPr>
      <w:t>10</w:t>
    </w:r>
    <w:r w:rsidR="000069BE" w:rsidRPr="00FC3F55">
      <w:fldChar w:fldCharType="end"/>
    </w:r>
  </w:p>
  <w:p w14:paraId="4D8B34D9" w14:textId="77777777" w:rsidR="00DC133F" w:rsidRDefault="00E074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630E9" w14:textId="77777777" w:rsidR="007E0EA5" w:rsidRDefault="007E0EA5" w:rsidP="00037734">
      <w:pPr>
        <w:spacing w:line="240" w:lineRule="auto"/>
      </w:pPr>
      <w:r>
        <w:separator/>
      </w:r>
    </w:p>
  </w:footnote>
  <w:footnote w:type="continuationSeparator" w:id="0">
    <w:p w14:paraId="4F8A3956" w14:textId="77777777" w:rsidR="007E0EA5" w:rsidRDefault="007E0EA5" w:rsidP="000377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0" w:type="dxa"/>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6"/>
      <w:gridCol w:w="7009"/>
      <w:gridCol w:w="1575"/>
    </w:tblGrid>
    <w:tr w:rsidR="00037734" w:rsidRPr="00FC3F55" w14:paraId="423B4800" w14:textId="77777777" w:rsidTr="00037734">
      <w:trPr>
        <w:cantSplit/>
      </w:trPr>
      <w:tc>
        <w:tcPr>
          <w:tcW w:w="1566" w:type="dxa"/>
          <w:vMerge w:val="restart"/>
          <w:vAlign w:val="center"/>
        </w:tcPr>
        <w:p w14:paraId="26DEF570" w14:textId="77777777" w:rsidR="00037734" w:rsidRPr="00FC3F55" w:rsidRDefault="00037734" w:rsidP="00406ED2">
          <w:pPr>
            <w:tabs>
              <w:tab w:val="center" w:pos="4536"/>
              <w:tab w:val="right" w:pos="9072"/>
            </w:tabs>
            <w:jc w:val="center"/>
            <w:rPr>
              <w:sz w:val="18"/>
              <w:lang w:val="en-GB"/>
            </w:rPr>
          </w:pPr>
          <w:r>
            <w:rPr>
              <w:sz w:val="18"/>
              <w:lang w:val="en-GB"/>
            </w:rPr>
            <w:t>GHT 21/52</w:t>
          </w:r>
        </w:p>
      </w:tc>
      <w:tc>
        <w:tcPr>
          <w:tcW w:w="7009" w:type="dxa"/>
          <w:vMerge w:val="restart"/>
          <w:vAlign w:val="center"/>
        </w:tcPr>
        <w:p w14:paraId="527A8CD3" w14:textId="2F6534B1" w:rsidR="00037734" w:rsidRPr="00037734" w:rsidRDefault="002010FA" w:rsidP="00037734">
          <w:pPr>
            <w:tabs>
              <w:tab w:val="center" w:pos="4536"/>
              <w:tab w:val="right" w:pos="9072"/>
            </w:tabs>
            <w:spacing w:line="240" w:lineRule="auto"/>
            <w:jc w:val="center"/>
            <w:rPr>
              <w:b/>
            </w:rPr>
          </w:pPr>
          <w:r>
            <w:rPr>
              <w:b/>
            </w:rPr>
            <w:t>Contrat relatif</w:t>
          </w:r>
          <w:r w:rsidR="00037734" w:rsidRPr="00037734">
            <w:rPr>
              <w:b/>
            </w:rPr>
            <w:t xml:space="preserve"> à la protection des données </w:t>
          </w:r>
          <w:r w:rsidR="00FB4A03">
            <w:rPr>
              <w:b/>
            </w:rPr>
            <w:t>à caractère personnel</w:t>
          </w:r>
        </w:p>
      </w:tc>
      <w:tc>
        <w:tcPr>
          <w:tcW w:w="1575" w:type="dxa"/>
        </w:tcPr>
        <w:p w14:paraId="42794AE7" w14:textId="77777777" w:rsidR="00037734" w:rsidRPr="00FC3F55" w:rsidRDefault="00037734" w:rsidP="00FC3F55">
          <w:pPr>
            <w:tabs>
              <w:tab w:val="center" w:pos="4536"/>
              <w:tab w:val="right" w:pos="9072"/>
            </w:tabs>
            <w:jc w:val="center"/>
            <w:rPr>
              <w:b/>
              <w:sz w:val="18"/>
            </w:rPr>
          </w:pPr>
          <w:r w:rsidRPr="00FC3F55">
            <w:rPr>
              <w:b/>
              <w:sz w:val="18"/>
            </w:rPr>
            <w:t>V 1.0</w:t>
          </w:r>
        </w:p>
      </w:tc>
    </w:tr>
    <w:tr w:rsidR="00037734" w:rsidRPr="00FC3F55" w14:paraId="3A3E41A1" w14:textId="77777777" w:rsidTr="004A686B">
      <w:trPr>
        <w:cantSplit/>
        <w:trHeight w:val="464"/>
      </w:trPr>
      <w:tc>
        <w:tcPr>
          <w:tcW w:w="1566" w:type="dxa"/>
          <w:vMerge/>
        </w:tcPr>
        <w:p w14:paraId="7745F7CC" w14:textId="77777777" w:rsidR="00037734" w:rsidRPr="00FC3F55" w:rsidRDefault="00037734" w:rsidP="00FC3F55">
          <w:pPr>
            <w:tabs>
              <w:tab w:val="center" w:pos="4536"/>
              <w:tab w:val="right" w:pos="9072"/>
            </w:tabs>
            <w:jc w:val="center"/>
            <w:rPr>
              <w:sz w:val="18"/>
            </w:rPr>
          </w:pPr>
        </w:p>
      </w:tc>
      <w:tc>
        <w:tcPr>
          <w:tcW w:w="7009" w:type="dxa"/>
          <w:vMerge/>
          <w:vAlign w:val="center"/>
        </w:tcPr>
        <w:p w14:paraId="5240381B" w14:textId="77777777" w:rsidR="00037734" w:rsidRPr="00FC3F55" w:rsidRDefault="00037734" w:rsidP="00FC3F55">
          <w:pPr>
            <w:tabs>
              <w:tab w:val="center" w:pos="4536"/>
              <w:tab w:val="right" w:pos="9072"/>
            </w:tabs>
            <w:jc w:val="center"/>
            <w:rPr>
              <w:b/>
              <w:i/>
              <w:iCs/>
              <w:sz w:val="18"/>
            </w:rPr>
          </w:pPr>
        </w:p>
      </w:tc>
      <w:tc>
        <w:tcPr>
          <w:tcW w:w="1575" w:type="dxa"/>
          <w:vAlign w:val="center"/>
        </w:tcPr>
        <w:p w14:paraId="04B54C56" w14:textId="6D6DEC20" w:rsidR="00037734" w:rsidRPr="00FC3F55" w:rsidRDefault="00037734" w:rsidP="00FC3F55">
          <w:pPr>
            <w:tabs>
              <w:tab w:val="center" w:pos="4536"/>
              <w:tab w:val="right" w:pos="9072"/>
            </w:tabs>
            <w:jc w:val="center"/>
            <w:rPr>
              <w:b/>
              <w:sz w:val="18"/>
            </w:rPr>
          </w:pPr>
          <w:r w:rsidRPr="00FC3F55">
            <w:rPr>
              <w:b/>
              <w:snapToGrid w:val="0"/>
              <w:sz w:val="18"/>
            </w:rPr>
            <w:t xml:space="preserve">Page </w:t>
          </w:r>
          <w:r w:rsidRPr="00FC3F55">
            <w:rPr>
              <w:b/>
              <w:snapToGrid w:val="0"/>
              <w:sz w:val="18"/>
            </w:rPr>
            <w:fldChar w:fldCharType="begin"/>
          </w:r>
          <w:r w:rsidRPr="00FC3F55">
            <w:rPr>
              <w:b/>
              <w:snapToGrid w:val="0"/>
              <w:sz w:val="18"/>
            </w:rPr>
            <w:instrText xml:space="preserve"> PAGE </w:instrText>
          </w:r>
          <w:r w:rsidRPr="00FC3F55">
            <w:rPr>
              <w:b/>
              <w:snapToGrid w:val="0"/>
              <w:sz w:val="18"/>
            </w:rPr>
            <w:fldChar w:fldCharType="separate"/>
          </w:r>
          <w:r w:rsidR="00E07408">
            <w:rPr>
              <w:b/>
              <w:noProof/>
              <w:snapToGrid w:val="0"/>
              <w:sz w:val="18"/>
            </w:rPr>
            <w:t>10</w:t>
          </w:r>
          <w:r w:rsidRPr="00FC3F55">
            <w:rPr>
              <w:b/>
              <w:snapToGrid w:val="0"/>
              <w:sz w:val="18"/>
            </w:rPr>
            <w:fldChar w:fldCharType="end"/>
          </w:r>
          <w:r w:rsidRPr="00FC3F55">
            <w:rPr>
              <w:b/>
              <w:snapToGrid w:val="0"/>
              <w:sz w:val="18"/>
            </w:rPr>
            <w:t xml:space="preserve"> sur </w:t>
          </w:r>
          <w:r w:rsidRPr="00FC3F55">
            <w:rPr>
              <w:b/>
              <w:sz w:val="18"/>
            </w:rPr>
            <w:fldChar w:fldCharType="begin"/>
          </w:r>
          <w:r w:rsidRPr="00FC3F55">
            <w:rPr>
              <w:b/>
              <w:sz w:val="18"/>
            </w:rPr>
            <w:instrText xml:space="preserve"> NUMPAGES   \* MERGEFORMAT </w:instrText>
          </w:r>
          <w:r w:rsidRPr="00FC3F55">
            <w:rPr>
              <w:b/>
              <w:sz w:val="18"/>
            </w:rPr>
            <w:fldChar w:fldCharType="separate"/>
          </w:r>
          <w:r w:rsidR="00E07408">
            <w:rPr>
              <w:b/>
              <w:noProof/>
              <w:sz w:val="18"/>
            </w:rPr>
            <w:t>10</w:t>
          </w:r>
          <w:r w:rsidRPr="00FC3F55">
            <w:rPr>
              <w:b/>
              <w:sz w:val="18"/>
            </w:rPr>
            <w:fldChar w:fldCharType="end"/>
          </w:r>
        </w:p>
      </w:tc>
    </w:tr>
  </w:tbl>
  <w:p w14:paraId="016894C9" w14:textId="77777777" w:rsidR="00DC133F" w:rsidRDefault="00E074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112DD"/>
    <w:multiLevelType w:val="hybridMultilevel"/>
    <w:tmpl w:val="61A2E338"/>
    <w:lvl w:ilvl="0" w:tplc="60EE0A02">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C808ED"/>
    <w:multiLevelType w:val="multilevel"/>
    <w:tmpl w:val="36E2C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E27F29"/>
    <w:multiLevelType w:val="hybridMultilevel"/>
    <w:tmpl w:val="3814A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5CD5B2B"/>
    <w:multiLevelType w:val="hybridMultilevel"/>
    <w:tmpl w:val="28582AF4"/>
    <w:lvl w:ilvl="0" w:tplc="46F2240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553251"/>
    <w:multiLevelType w:val="hybridMultilevel"/>
    <w:tmpl w:val="15D4C100"/>
    <w:lvl w:ilvl="0" w:tplc="591014EC">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27552DA4"/>
    <w:multiLevelType w:val="hybridMultilevel"/>
    <w:tmpl w:val="1C124B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6F1878"/>
    <w:multiLevelType w:val="multilevel"/>
    <w:tmpl w:val="E4D4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4E10"/>
    <w:multiLevelType w:val="hybridMultilevel"/>
    <w:tmpl w:val="FD4CE0B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3C402CC8"/>
    <w:multiLevelType w:val="hybridMultilevel"/>
    <w:tmpl w:val="E1226B38"/>
    <w:lvl w:ilvl="0" w:tplc="C4686882">
      <w:start w:val="2"/>
      <w:numFmt w:val="bullet"/>
      <w:lvlText w:val="-"/>
      <w:lvlJc w:val="left"/>
      <w:pPr>
        <w:ind w:left="720" w:hanging="360"/>
      </w:pPr>
      <w:rPr>
        <w:rFonts w:ascii="Garamond" w:eastAsiaTheme="minorHAnsi"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9B147C"/>
    <w:multiLevelType w:val="multilevel"/>
    <w:tmpl w:val="3A9A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5914A9"/>
    <w:multiLevelType w:val="hybridMultilevel"/>
    <w:tmpl w:val="B5AC0F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553C8D"/>
    <w:multiLevelType w:val="hybridMultilevel"/>
    <w:tmpl w:val="C6123756"/>
    <w:lvl w:ilvl="0" w:tplc="146E10B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8BB3AC6"/>
    <w:multiLevelType w:val="hybridMultilevel"/>
    <w:tmpl w:val="1A78CC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B633674"/>
    <w:multiLevelType w:val="hybridMultilevel"/>
    <w:tmpl w:val="C7BADA86"/>
    <w:lvl w:ilvl="0" w:tplc="CCA6A44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E5C3E92"/>
    <w:multiLevelType w:val="multilevel"/>
    <w:tmpl w:val="E4D42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740E90"/>
    <w:multiLevelType w:val="multilevel"/>
    <w:tmpl w:val="A6A0F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0E19BE"/>
    <w:multiLevelType w:val="hybridMultilevel"/>
    <w:tmpl w:val="87B81B3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738D40BD"/>
    <w:multiLevelType w:val="multilevel"/>
    <w:tmpl w:val="E4D4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193D83"/>
    <w:multiLevelType w:val="hybridMultilevel"/>
    <w:tmpl w:val="0178A186"/>
    <w:lvl w:ilvl="0" w:tplc="E8301F30">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78E4957"/>
    <w:multiLevelType w:val="hybridMultilevel"/>
    <w:tmpl w:val="27AC6D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FA541E2"/>
    <w:multiLevelType w:val="hybridMultilevel"/>
    <w:tmpl w:val="BF48A63A"/>
    <w:lvl w:ilvl="0" w:tplc="040C0001">
      <w:start w:val="1"/>
      <w:numFmt w:val="bullet"/>
      <w:lvlText w:val=""/>
      <w:lvlJc w:val="left"/>
      <w:pPr>
        <w:ind w:left="1485" w:hanging="360"/>
      </w:pPr>
      <w:rPr>
        <w:rFonts w:ascii="Symbol" w:hAnsi="Symbol"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num w:numId="1">
    <w:abstractNumId w:val="13"/>
  </w:num>
  <w:num w:numId="2">
    <w:abstractNumId w:val="0"/>
  </w:num>
  <w:num w:numId="3">
    <w:abstractNumId w:val="11"/>
  </w:num>
  <w:num w:numId="4">
    <w:abstractNumId w:val="7"/>
  </w:num>
  <w:num w:numId="5">
    <w:abstractNumId w:val="5"/>
  </w:num>
  <w:num w:numId="6">
    <w:abstractNumId w:val="3"/>
  </w:num>
  <w:num w:numId="7">
    <w:abstractNumId w:val="16"/>
  </w:num>
  <w:num w:numId="8">
    <w:abstractNumId w:val="4"/>
  </w:num>
  <w:num w:numId="9">
    <w:abstractNumId w:val="9"/>
  </w:num>
  <w:num w:numId="10">
    <w:abstractNumId w:val="20"/>
  </w:num>
  <w:num w:numId="11">
    <w:abstractNumId w:val="15"/>
  </w:num>
  <w:num w:numId="12">
    <w:abstractNumId w:val="6"/>
  </w:num>
  <w:num w:numId="13">
    <w:abstractNumId w:val="17"/>
  </w:num>
  <w:num w:numId="14">
    <w:abstractNumId w:val="14"/>
  </w:num>
  <w:num w:numId="15">
    <w:abstractNumId w:val="19"/>
  </w:num>
  <w:num w:numId="16">
    <w:abstractNumId w:val="1"/>
  </w:num>
  <w:num w:numId="17">
    <w:abstractNumId w:val="12"/>
  </w:num>
  <w:num w:numId="18">
    <w:abstractNumId w:val="18"/>
  </w:num>
  <w:num w:numId="19">
    <w:abstractNumId w:val="8"/>
  </w:num>
  <w:num w:numId="20">
    <w:abstractNumId w:val="10"/>
  </w:num>
  <w:num w:numId="2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A Mitra">
    <w15:presenceInfo w15:providerId="AD" w15:userId="S-1-5-21-1693123538-1978743074-1190612905-836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734"/>
    <w:rsid w:val="000069BE"/>
    <w:rsid w:val="000071EB"/>
    <w:rsid w:val="00037734"/>
    <w:rsid w:val="000E6D5D"/>
    <w:rsid w:val="00153593"/>
    <w:rsid w:val="001F7CFE"/>
    <w:rsid w:val="002010FA"/>
    <w:rsid w:val="00201398"/>
    <w:rsid w:val="0021599E"/>
    <w:rsid w:val="00264151"/>
    <w:rsid w:val="00282DA4"/>
    <w:rsid w:val="002B20D6"/>
    <w:rsid w:val="002C32A2"/>
    <w:rsid w:val="002D6217"/>
    <w:rsid w:val="002D7AF3"/>
    <w:rsid w:val="002F1B14"/>
    <w:rsid w:val="0031253A"/>
    <w:rsid w:val="003428BF"/>
    <w:rsid w:val="00351198"/>
    <w:rsid w:val="003821E5"/>
    <w:rsid w:val="003A3C94"/>
    <w:rsid w:val="003D2081"/>
    <w:rsid w:val="00423DE5"/>
    <w:rsid w:val="004345F1"/>
    <w:rsid w:val="00473C43"/>
    <w:rsid w:val="004A5F27"/>
    <w:rsid w:val="004A65D4"/>
    <w:rsid w:val="004D3202"/>
    <w:rsid w:val="0051085C"/>
    <w:rsid w:val="0054044F"/>
    <w:rsid w:val="00554E4A"/>
    <w:rsid w:val="005D1114"/>
    <w:rsid w:val="00663EE2"/>
    <w:rsid w:val="00687EC7"/>
    <w:rsid w:val="006C3B71"/>
    <w:rsid w:val="006F7196"/>
    <w:rsid w:val="00737E2C"/>
    <w:rsid w:val="007646D7"/>
    <w:rsid w:val="007760C4"/>
    <w:rsid w:val="00794111"/>
    <w:rsid w:val="007E0EA5"/>
    <w:rsid w:val="00837B54"/>
    <w:rsid w:val="00872232"/>
    <w:rsid w:val="00897927"/>
    <w:rsid w:val="008D5A49"/>
    <w:rsid w:val="008E0BF9"/>
    <w:rsid w:val="0090677B"/>
    <w:rsid w:val="009327C8"/>
    <w:rsid w:val="0094452C"/>
    <w:rsid w:val="009445DC"/>
    <w:rsid w:val="00963263"/>
    <w:rsid w:val="00984C1E"/>
    <w:rsid w:val="009B76A7"/>
    <w:rsid w:val="00A366BB"/>
    <w:rsid w:val="00A54DCE"/>
    <w:rsid w:val="00A569FD"/>
    <w:rsid w:val="00A6397E"/>
    <w:rsid w:val="00A66BCE"/>
    <w:rsid w:val="00AB651B"/>
    <w:rsid w:val="00AD4489"/>
    <w:rsid w:val="00AF4238"/>
    <w:rsid w:val="00BA13EB"/>
    <w:rsid w:val="00BC3ACB"/>
    <w:rsid w:val="00BC7708"/>
    <w:rsid w:val="00BD028C"/>
    <w:rsid w:val="00BE2855"/>
    <w:rsid w:val="00C24299"/>
    <w:rsid w:val="00C36952"/>
    <w:rsid w:val="00C705D6"/>
    <w:rsid w:val="00CB2959"/>
    <w:rsid w:val="00CC4A51"/>
    <w:rsid w:val="00D931B4"/>
    <w:rsid w:val="00DA0BD3"/>
    <w:rsid w:val="00DA3B5D"/>
    <w:rsid w:val="00E07408"/>
    <w:rsid w:val="00E51AB2"/>
    <w:rsid w:val="00E67F7D"/>
    <w:rsid w:val="00E965DC"/>
    <w:rsid w:val="00EB3972"/>
    <w:rsid w:val="00ED0E9C"/>
    <w:rsid w:val="00EE4021"/>
    <w:rsid w:val="00F156D2"/>
    <w:rsid w:val="00F26CE7"/>
    <w:rsid w:val="00F50732"/>
    <w:rsid w:val="00F8626E"/>
    <w:rsid w:val="00F902C9"/>
    <w:rsid w:val="00FB4A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CA3BE"/>
  <w15:docId w15:val="{CD23A8AF-E0EE-4ABD-BB6A-83E169972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4"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F7D"/>
    <w:pPr>
      <w:spacing w:line="360" w:lineRule="auto"/>
      <w:jc w:val="both"/>
    </w:pPr>
    <w:rPr>
      <w:rFonts w:ascii="Garamond" w:hAnsi="Garamond"/>
      <w:sz w:val="24"/>
    </w:rPr>
  </w:style>
  <w:style w:type="paragraph" w:styleId="Titre1">
    <w:name w:val="heading 1"/>
    <w:basedOn w:val="Normal"/>
    <w:next w:val="Normal"/>
    <w:link w:val="Titre1Car"/>
    <w:uiPriority w:val="9"/>
    <w:qFormat/>
    <w:rsid w:val="00E67F7D"/>
    <w:pPr>
      <w:keepNext/>
      <w:keepLines/>
      <w:numPr>
        <w:numId w:val="18"/>
      </w:numPr>
      <w:spacing w:after="120" w:line="240" w:lineRule="auto"/>
      <w:outlineLvl w:val="0"/>
    </w:pPr>
    <w:rPr>
      <w:rFonts w:eastAsiaTheme="majorEastAsia" w:cstheme="majorBidi"/>
      <w:b/>
      <w:bCs/>
      <w:sz w:val="28"/>
      <w:szCs w:val="28"/>
      <w:u w:val="single"/>
    </w:rPr>
  </w:style>
  <w:style w:type="paragraph" w:styleId="Titre2">
    <w:name w:val="heading 2"/>
    <w:basedOn w:val="Normal"/>
    <w:next w:val="Normal"/>
    <w:link w:val="Titre2Car"/>
    <w:uiPriority w:val="9"/>
    <w:unhideWhenUsed/>
    <w:qFormat/>
    <w:rsid w:val="0003773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67F7D"/>
    <w:rPr>
      <w:rFonts w:ascii="Garamond" w:eastAsiaTheme="majorEastAsia" w:hAnsi="Garamond" w:cstheme="majorBidi"/>
      <w:b/>
      <w:bCs/>
      <w:sz w:val="28"/>
      <w:szCs w:val="28"/>
      <w:u w:val="single"/>
    </w:rPr>
  </w:style>
  <w:style w:type="character" w:customStyle="1" w:styleId="Titre2Car">
    <w:name w:val="Titre 2 Car"/>
    <w:basedOn w:val="Policepardfaut"/>
    <w:link w:val="Titre2"/>
    <w:uiPriority w:val="9"/>
    <w:rsid w:val="00037734"/>
    <w:rPr>
      <w:rFonts w:asciiTheme="majorHAnsi" w:eastAsiaTheme="majorEastAsia" w:hAnsiTheme="majorHAnsi" w:cstheme="majorBidi"/>
      <w:b/>
      <w:bCs/>
      <w:color w:val="4F81BD" w:themeColor="accent1"/>
      <w:sz w:val="26"/>
      <w:szCs w:val="26"/>
    </w:rPr>
  </w:style>
  <w:style w:type="paragraph" w:styleId="En-tte">
    <w:name w:val="header"/>
    <w:basedOn w:val="Normal"/>
    <w:link w:val="En-tteCar"/>
    <w:uiPriority w:val="99"/>
    <w:unhideWhenUsed/>
    <w:rsid w:val="00037734"/>
    <w:pPr>
      <w:tabs>
        <w:tab w:val="center" w:pos="4536"/>
        <w:tab w:val="right" w:pos="9072"/>
      </w:tabs>
      <w:jc w:val="left"/>
    </w:pPr>
  </w:style>
  <w:style w:type="character" w:customStyle="1" w:styleId="En-tteCar">
    <w:name w:val="En-tête Car"/>
    <w:basedOn w:val="Policepardfaut"/>
    <w:link w:val="En-tte"/>
    <w:uiPriority w:val="99"/>
    <w:rsid w:val="00037734"/>
  </w:style>
  <w:style w:type="paragraph" w:styleId="Pieddepage">
    <w:name w:val="footer"/>
    <w:basedOn w:val="Normal"/>
    <w:link w:val="PieddepageCar"/>
    <w:uiPriority w:val="99"/>
    <w:unhideWhenUsed/>
    <w:rsid w:val="00037734"/>
    <w:pPr>
      <w:tabs>
        <w:tab w:val="center" w:pos="4536"/>
        <w:tab w:val="right" w:pos="9072"/>
      </w:tabs>
      <w:jc w:val="left"/>
    </w:pPr>
  </w:style>
  <w:style w:type="character" w:customStyle="1" w:styleId="PieddepageCar">
    <w:name w:val="Pied de page Car"/>
    <w:basedOn w:val="Policepardfaut"/>
    <w:link w:val="Pieddepage"/>
    <w:uiPriority w:val="99"/>
    <w:rsid w:val="00037734"/>
  </w:style>
  <w:style w:type="paragraph" w:styleId="Retraitnormal">
    <w:name w:val="Normal Indent"/>
    <w:aliases w:val="Normal List,Retrait normal Car1 Car,Normal List Car Car,Retrait normal Car Car Car,Normal List Car1,Retrait normal Car Car1,Normal List Car,Retrait normal Car Car,Retrait normal Car1 Car Car Car Car Car Car,Retrait normal Car2 Car Car"/>
    <w:basedOn w:val="Normal"/>
    <w:link w:val="RetraitnormalCar"/>
    <w:uiPriority w:val="14"/>
    <w:qFormat/>
    <w:rsid w:val="00037734"/>
    <w:pPr>
      <w:keepLines/>
      <w:spacing w:before="240"/>
      <w:ind w:left="851"/>
    </w:pPr>
    <w:rPr>
      <w:rFonts w:ascii="Verdana" w:eastAsia="Times New Roman" w:hAnsi="Verdana" w:cs="Times New Roman"/>
      <w:sz w:val="20"/>
      <w:szCs w:val="20"/>
      <w:lang w:eastAsia="fr-FR"/>
    </w:rPr>
  </w:style>
  <w:style w:type="paragraph" w:customStyle="1" w:styleId="NomEtude">
    <w:name w:val="Nom Etude"/>
    <w:basedOn w:val="Normal"/>
    <w:rsid w:val="00037734"/>
    <w:pPr>
      <w:keepLines/>
      <w:spacing w:before="120" w:after="120"/>
      <w:jc w:val="center"/>
    </w:pPr>
    <w:rPr>
      <w:rFonts w:ascii="Verdana" w:eastAsia="Times New Roman" w:hAnsi="Verdana" w:cs="Times New Roman"/>
      <w:color w:val="00477F"/>
      <w:sz w:val="36"/>
      <w:szCs w:val="20"/>
      <w:lang w:eastAsia="fr-FR"/>
    </w:rPr>
  </w:style>
  <w:style w:type="paragraph" w:customStyle="1" w:styleId="NomSujetDocument">
    <w:name w:val="Nom SujetDocument"/>
    <w:basedOn w:val="Normal"/>
    <w:rsid w:val="00037734"/>
    <w:pPr>
      <w:keepLines/>
      <w:spacing w:before="120" w:after="120"/>
      <w:jc w:val="center"/>
    </w:pPr>
    <w:rPr>
      <w:rFonts w:ascii="Verdana" w:eastAsia="Times New Roman" w:hAnsi="Verdana" w:cs="Times New Roman"/>
      <w:i/>
      <w:color w:val="00477F"/>
      <w:sz w:val="36"/>
      <w:szCs w:val="20"/>
      <w:lang w:eastAsia="fr-FR"/>
    </w:rPr>
  </w:style>
  <w:style w:type="character" w:customStyle="1" w:styleId="RetraitnormalCar">
    <w:name w:val="Retrait normal Car"/>
    <w:aliases w:val="Normal List Car2,Retrait normal Car1 Car Car,Normal List Car Car Car,Retrait normal Car Car Car Car,Normal List Car1 Car,Retrait normal Car Car1 Car,Normal List Car Car1,Retrait normal Car Car Car1,Retrait normal Car2 Car Car Car"/>
    <w:link w:val="Retraitnormal"/>
    <w:uiPriority w:val="14"/>
    <w:rsid w:val="00037734"/>
    <w:rPr>
      <w:rFonts w:ascii="Verdana" w:eastAsia="Times New Roman" w:hAnsi="Verdana" w:cs="Times New Roman"/>
      <w:sz w:val="20"/>
      <w:szCs w:val="20"/>
      <w:lang w:eastAsia="fr-FR"/>
    </w:rPr>
  </w:style>
  <w:style w:type="paragraph" w:styleId="Paragraphedeliste">
    <w:name w:val="List Paragraph"/>
    <w:basedOn w:val="Normal"/>
    <w:uiPriority w:val="34"/>
    <w:qFormat/>
    <w:rsid w:val="00037734"/>
    <w:pPr>
      <w:ind w:left="720"/>
      <w:contextualSpacing/>
    </w:pPr>
  </w:style>
  <w:style w:type="character" w:styleId="Lienhypertexte">
    <w:name w:val="Hyperlink"/>
    <w:basedOn w:val="Policepardfaut"/>
    <w:uiPriority w:val="99"/>
    <w:unhideWhenUsed/>
    <w:rsid w:val="00037734"/>
    <w:rPr>
      <w:color w:val="0000FF" w:themeColor="hyperlink"/>
      <w:u w:val="single"/>
    </w:rPr>
  </w:style>
  <w:style w:type="character" w:styleId="Textedelespacerserv">
    <w:name w:val="Placeholder Text"/>
    <w:basedOn w:val="Policepardfaut"/>
    <w:uiPriority w:val="99"/>
    <w:semiHidden/>
    <w:rsid w:val="00037734"/>
    <w:rPr>
      <w:color w:val="808080"/>
    </w:rPr>
  </w:style>
  <w:style w:type="table" w:styleId="Grilledutableau">
    <w:name w:val="Table Grid"/>
    <w:basedOn w:val="TableauNormal"/>
    <w:uiPriority w:val="59"/>
    <w:rsid w:val="000377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37734"/>
    <w:pPr>
      <w:spacing w:line="276" w:lineRule="auto"/>
      <w:jc w:val="left"/>
      <w:outlineLvl w:val="9"/>
    </w:pPr>
    <w:rPr>
      <w:lang w:eastAsia="fr-FR"/>
    </w:rPr>
  </w:style>
  <w:style w:type="paragraph" w:styleId="TM1">
    <w:name w:val="toc 1"/>
    <w:basedOn w:val="Normal"/>
    <w:next w:val="Normal"/>
    <w:autoRedefine/>
    <w:uiPriority w:val="39"/>
    <w:unhideWhenUsed/>
    <w:rsid w:val="00037734"/>
    <w:pPr>
      <w:spacing w:after="100"/>
    </w:pPr>
  </w:style>
  <w:style w:type="paragraph" w:styleId="Textedebulles">
    <w:name w:val="Balloon Text"/>
    <w:basedOn w:val="Normal"/>
    <w:link w:val="TextedebullesCar"/>
    <w:uiPriority w:val="99"/>
    <w:semiHidden/>
    <w:unhideWhenUsed/>
    <w:rsid w:val="00037734"/>
    <w:rPr>
      <w:rFonts w:ascii="Tahoma" w:hAnsi="Tahoma" w:cs="Tahoma"/>
      <w:sz w:val="16"/>
      <w:szCs w:val="16"/>
    </w:rPr>
  </w:style>
  <w:style w:type="character" w:customStyle="1" w:styleId="TextedebullesCar">
    <w:name w:val="Texte de bulles Car"/>
    <w:basedOn w:val="Policepardfaut"/>
    <w:link w:val="Textedebulles"/>
    <w:uiPriority w:val="99"/>
    <w:semiHidden/>
    <w:rsid w:val="00037734"/>
    <w:rPr>
      <w:rFonts w:ascii="Tahoma" w:hAnsi="Tahoma" w:cs="Tahoma"/>
      <w:sz w:val="16"/>
      <w:szCs w:val="16"/>
    </w:rPr>
  </w:style>
  <w:style w:type="character" w:styleId="lev">
    <w:name w:val="Strong"/>
    <w:basedOn w:val="Policepardfaut"/>
    <w:uiPriority w:val="22"/>
    <w:qFormat/>
    <w:rsid w:val="00CC4A51"/>
    <w:rPr>
      <w:b/>
      <w:bCs/>
    </w:rPr>
  </w:style>
  <w:style w:type="paragraph" w:styleId="Sansinterligne">
    <w:name w:val="No Spacing"/>
    <w:uiPriority w:val="1"/>
    <w:qFormat/>
    <w:rsid w:val="003821E5"/>
    <w:pPr>
      <w:jc w:val="both"/>
    </w:pPr>
    <w:rPr>
      <w:rFonts w:ascii="Garamond" w:hAnsi="Garamond"/>
      <w:sz w:val="24"/>
    </w:rPr>
  </w:style>
  <w:style w:type="character" w:styleId="Marquedecommentaire">
    <w:name w:val="annotation reference"/>
    <w:basedOn w:val="Policepardfaut"/>
    <w:uiPriority w:val="99"/>
    <w:semiHidden/>
    <w:unhideWhenUsed/>
    <w:rsid w:val="00AF4238"/>
    <w:rPr>
      <w:sz w:val="16"/>
      <w:szCs w:val="16"/>
    </w:rPr>
  </w:style>
  <w:style w:type="paragraph" w:styleId="Commentaire">
    <w:name w:val="annotation text"/>
    <w:basedOn w:val="Normal"/>
    <w:link w:val="CommentaireCar"/>
    <w:uiPriority w:val="99"/>
    <w:semiHidden/>
    <w:unhideWhenUsed/>
    <w:rsid w:val="00AF4238"/>
    <w:pPr>
      <w:spacing w:line="240" w:lineRule="auto"/>
    </w:pPr>
    <w:rPr>
      <w:sz w:val="20"/>
      <w:szCs w:val="20"/>
    </w:rPr>
  </w:style>
  <w:style w:type="character" w:customStyle="1" w:styleId="CommentaireCar">
    <w:name w:val="Commentaire Car"/>
    <w:basedOn w:val="Policepardfaut"/>
    <w:link w:val="Commentaire"/>
    <w:uiPriority w:val="99"/>
    <w:semiHidden/>
    <w:rsid w:val="00AF4238"/>
    <w:rPr>
      <w:rFonts w:ascii="Garamond" w:hAnsi="Garamond"/>
      <w:sz w:val="20"/>
      <w:szCs w:val="20"/>
    </w:rPr>
  </w:style>
  <w:style w:type="paragraph" w:styleId="Objetducommentaire">
    <w:name w:val="annotation subject"/>
    <w:basedOn w:val="Commentaire"/>
    <w:next w:val="Commentaire"/>
    <w:link w:val="ObjetducommentaireCar"/>
    <w:uiPriority w:val="99"/>
    <w:semiHidden/>
    <w:unhideWhenUsed/>
    <w:rsid w:val="00AF4238"/>
    <w:rPr>
      <w:b/>
      <w:bCs/>
    </w:rPr>
  </w:style>
  <w:style w:type="character" w:customStyle="1" w:styleId="ObjetducommentaireCar">
    <w:name w:val="Objet du commentaire Car"/>
    <w:basedOn w:val="CommentaireCar"/>
    <w:link w:val="Objetducommentaire"/>
    <w:uiPriority w:val="99"/>
    <w:semiHidden/>
    <w:rsid w:val="00AF4238"/>
    <w:rPr>
      <w:rFonts w:ascii="Garamond" w:hAnsi="Garamond"/>
      <w:b/>
      <w:bCs/>
      <w:sz w:val="20"/>
      <w:szCs w:val="20"/>
    </w:rPr>
  </w:style>
  <w:style w:type="table" w:customStyle="1" w:styleId="TableauGrille4-Accentuation41">
    <w:name w:val="Tableau Grille 4 - Accentuation 41"/>
    <w:basedOn w:val="TableauNormal"/>
    <w:uiPriority w:val="49"/>
    <w:rsid w:val="007760C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001118">
      <w:bodyDiv w:val="1"/>
      <w:marLeft w:val="0"/>
      <w:marRight w:val="0"/>
      <w:marTop w:val="0"/>
      <w:marBottom w:val="0"/>
      <w:divBdr>
        <w:top w:val="none" w:sz="0" w:space="0" w:color="auto"/>
        <w:left w:val="none" w:sz="0" w:space="0" w:color="auto"/>
        <w:bottom w:val="none" w:sz="0" w:space="0" w:color="auto"/>
        <w:right w:val="none" w:sz="0" w:space="0" w:color="auto"/>
      </w:divBdr>
    </w:div>
    <w:div w:id="416874600">
      <w:bodyDiv w:val="1"/>
      <w:marLeft w:val="0"/>
      <w:marRight w:val="0"/>
      <w:marTop w:val="0"/>
      <w:marBottom w:val="0"/>
      <w:divBdr>
        <w:top w:val="none" w:sz="0" w:space="0" w:color="auto"/>
        <w:left w:val="none" w:sz="0" w:space="0" w:color="auto"/>
        <w:bottom w:val="none" w:sz="0" w:space="0" w:color="auto"/>
        <w:right w:val="none" w:sz="0" w:space="0" w:color="auto"/>
      </w:divBdr>
    </w:div>
    <w:div w:id="433943695">
      <w:bodyDiv w:val="1"/>
      <w:marLeft w:val="0"/>
      <w:marRight w:val="0"/>
      <w:marTop w:val="0"/>
      <w:marBottom w:val="0"/>
      <w:divBdr>
        <w:top w:val="none" w:sz="0" w:space="0" w:color="auto"/>
        <w:left w:val="none" w:sz="0" w:space="0" w:color="auto"/>
        <w:bottom w:val="none" w:sz="0" w:space="0" w:color="auto"/>
        <w:right w:val="none" w:sz="0" w:space="0" w:color="auto"/>
      </w:divBdr>
    </w:div>
    <w:div w:id="680863061">
      <w:bodyDiv w:val="1"/>
      <w:marLeft w:val="0"/>
      <w:marRight w:val="0"/>
      <w:marTop w:val="0"/>
      <w:marBottom w:val="0"/>
      <w:divBdr>
        <w:top w:val="none" w:sz="0" w:space="0" w:color="auto"/>
        <w:left w:val="none" w:sz="0" w:space="0" w:color="auto"/>
        <w:bottom w:val="none" w:sz="0" w:space="0" w:color="auto"/>
        <w:right w:val="none" w:sz="0" w:space="0" w:color="auto"/>
      </w:divBdr>
    </w:div>
    <w:div w:id="717824523">
      <w:bodyDiv w:val="1"/>
      <w:marLeft w:val="0"/>
      <w:marRight w:val="0"/>
      <w:marTop w:val="0"/>
      <w:marBottom w:val="0"/>
      <w:divBdr>
        <w:top w:val="none" w:sz="0" w:space="0" w:color="auto"/>
        <w:left w:val="none" w:sz="0" w:space="0" w:color="auto"/>
        <w:bottom w:val="none" w:sz="0" w:space="0" w:color="auto"/>
        <w:right w:val="none" w:sz="0" w:space="0" w:color="auto"/>
      </w:divBdr>
    </w:div>
    <w:div w:id="721294473">
      <w:bodyDiv w:val="1"/>
      <w:marLeft w:val="0"/>
      <w:marRight w:val="0"/>
      <w:marTop w:val="0"/>
      <w:marBottom w:val="0"/>
      <w:divBdr>
        <w:top w:val="none" w:sz="0" w:space="0" w:color="auto"/>
        <w:left w:val="none" w:sz="0" w:space="0" w:color="auto"/>
        <w:bottom w:val="none" w:sz="0" w:space="0" w:color="auto"/>
        <w:right w:val="none" w:sz="0" w:space="0" w:color="auto"/>
      </w:divBdr>
    </w:div>
    <w:div w:id="874585255">
      <w:bodyDiv w:val="1"/>
      <w:marLeft w:val="0"/>
      <w:marRight w:val="0"/>
      <w:marTop w:val="0"/>
      <w:marBottom w:val="0"/>
      <w:divBdr>
        <w:top w:val="none" w:sz="0" w:space="0" w:color="auto"/>
        <w:left w:val="none" w:sz="0" w:space="0" w:color="auto"/>
        <w:bottom w:val="none" w:sz="0" w:space="0" w:color="auto"/>
        <w:right w:val="none" w:sz="0" w:space="0" w:color="auto"/>
      </w:divBdr>
    </w:div>
    <w:div w:id="982736711">
      <w:bodyDiv w:val="1"/>
      <w:marLeft w:val="0"/>
      <w:marRight w:val="0"/>
      <w:marTop w:val="0"/>
      <w:marBottom w:val="0"/>
      <w:divBdr>
        <w:top w:val="none" w:sz="0" w:space="0" w:color="auto"/>
        <w:left w:val="none" w:sz="0" w:space="0" w:color="auto"/>
        <w:bottom w:val="none" w:sz="0" w:space="0" w:color="auto"/>
        <w:right w:val="none" w:sz="0" w:space="0" w:color="auto"/>
      </w:divBdr>
    </w:div>
    <w:div w:id="991717132">
      <w:bodyDiv w:val="1"/>
      <w:marLeft w:val="0"/>
      <w:marRight w:val="0"/>
      <w:marTop w:val="0"/>
      <w:marBottom w:val="0"/>
      <w:divBdr>
        <w:top w:val="none" w:sz="0" w:space="0" w:color="auto"/>
        <w:left w:val="none" w:sz="0" w:space="0" w:color="auto"/>
        <w:bottom w:val="none" w:sz="0" w:space="0" w:color="auto"/>
        <w:right w:val="none" w:sz="0" w:space="0" w:color="auto"/>
      </w:divBdr>
    </w:div>
    <w:div w:id="1017316294">
      <w:bodyDiv w:val="1"/>
      <w:marLeft w:val="0"/>
      <w:marRight w:val="0"/>
      <w:marTop w:val="0"/>
      <w:marBottom w:val="0"/>
      <w:divBdr>
        <w:top w:val="none" w:sz="0" w:space="0" w:color="auto"/>
        <w:left w:val="none" w:sz="0" w:space="0" w:color="auto"/>
        <w:bottom w:val="none" w:sz="0" w:space="0" w:color="auto"/>
        <w:right w:val="none" w:sz="0" w:space="0" w:color="auto"/>
      </w:divBdr>
    </w:div>
    <w:div w:id="1147865684">
      <w:bodyDiv w:val="1"/>
      <w:marLeft w:val="0"/>
      <w:marRight w:val="0"/>
      <w:marTop w:val="0"/>
      <w:marBottom w:val="0"/>
      <w:divBdr>
        <w:top w:val="none" w:sz="0" w:space="0" w:color="auto"/>
        <w:left w:val="none" w:sz="0" w:space="0" w:color="auto"/>
        <w:bottom w:val="none" w:sz="0" w:space="0" w:color="auto"/>
        <w:right w:val="none" w:sz="0" w:space="0" w:color="auto"/>
      </w:divBdr>
    </w:div>
    <w:div w:id="1847596753">
      <w:bodyDiv w:val="1"/>
      <w:marLeft w:val="0"/>
      <w:marRight w:val="0"/>
      <w:marTop w:val="0"/>
      <w:marBottom w:val="0"/>
      <w:divBdr>
        <w:top w:val="none" w:sz="0" w:space="0" w:color="auto"/>
        <w:left w:val="none" w:sz="0" w:space="0" w:color="auto"/>
        <w:bottom w:val="none" w:sz="0" w:space="0" w:color="auto"/>
        <w:right w:val="none" w:sz="0" w:space="0" w:color="auto"/>
      </w:divBdr>
    </w:div>
    <w:div w:id="2066178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ght21-52.fr"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dpo@ght21-52.fr"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65E11-59E3-4E74-9867-769BEBFB4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10</Pages>
  <Words>3282</Words>
  <Characters>18056</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CHU-DIJON</Company>
  <LinksUpToDate>false</LinksUpToDate>
  <CharactersWithSpaces>21296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TRUCHOT Helene</dc:creator>
  <cp:lastModifiedBy>ADA Mitra</cp:lastModifiedBy>
  <cp:revision>38</cp:revision>
  <dcterms:created xsi:type="dcterms:W3CDTF">2021-05-21T16:52:00Z</dcterms:created>
  <dcterms:modified xsi:type="dcterms:W3CDTF">2024-10-22T14:57:00Z</dcterms:modified>
</cp:coreProperties>
</file>